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6A5" w:rsidRPr="00793FF1" w:rsidRDefault="006536A5" w:rsidP="006536A5">
      <w:pPr>
        <w:pStyle w:val="Heading1"/>
        <w:spacing w:before="0" w:line="360" w:lineRule="auto"/>
        <w:jc w:val="center"/>
        <w:rPr>
          <w:rFonts w:ascii="Arial" w:hAnsi="Arial" w:cs="Arial"/>
          <w:color w:val="auto"/>
          <w:sz w:val="24"/>
          <w:szCs w:val="24"/>
        </w:rPr>
      </w:pPr>
      <w:bookmarkStart w:id="0" w:name="_Toc45118401"/>
      <w:r w:rsidRPr="00793FF1">
        <w:rPr>
          <w:rFonts w:ascii="Arial" w:hAnsi="Arial" w:cs="Arial"/>
          <w:color w:val="auto"/>
          <w:sz w:val="24"/>
          <w:szCs w:val="24"/>
        </w:rPr>
        <w:t xml:space="preserve">BAB III </w:t>
      </w:r>
    </w:p>
    <w:p w:rsidR="006536A5" w:rsidRPr="00793FF1" w:rsidRDefault="006536A5" w:rsidP="006536A5">
      <w:pPr>
        <w:pStyle w:val="Heading1"/>
        <w:spacing w:before="0" w:line="360" w:lineRule="auto"/>
        <w:jc w:val="center"/>
        <w:rPr>
          <w:rFonts w:ascii="Arial" w:hAnsi="Arial" w:cs="Arial"/>
          <w:color w:val="auto"/>
          <w:sz w:val="24"/>
          <w:szCs w:val="24"/>
        </w:rPr>
      </w:pPr>
      <w:r w:rsidRPr="00793FF1">
        <w:rPr>
          <w:rFonts w:ascii="Arial" w:hAnsi="Arial" w:cs="Arial"/>
          <w:color w:val="auto"/>
          <w:sz w:val="24"/>
          <w:szCs w:val="24"/>
        </w:rPr>
        <w:t>KERANGKA EKONOMI DAN KEUANGAN DAERAH</w:t>
      </w:r>
      <w:bookmarkEnd w:id="0"/>
    </w:p>
    <w:p w:rsidR="006536A5" w:rsidRPr="00793FF1" w:rsidRDefault="006536A5" w:rsidP="006536A5">
      <w:pPr>
        <w:rPr>
          <w:rFonts w:ascii="Arial" w:hAnsi="Arial" w:cs="Arial"/>
          <w:sz w:val="24"/>
          <w:szCs w:val="24"/>
        </w:rPr>
      </w:pPr>
    </w:p>
    <w:p w:rsidR="006536A5" w:rsidRPr="00793FF1" w:rsidRDefault="006536A5" w:rsidP="006536A5">
      <w:pPr>
        <w:spacing w:after="240" w:line="360" w:lineRule="auto"/>
        <w:ind w:firstLine="851"/>
        <w:jc w:val="both"/>
        <w:rPr>
          <w:rFonts w:ascii="Arial" w:hAnsi="Arial" w:cs="Arial"/>
          <w:sz w:val="24"/>
          <w:szCs w:val="24"/>
        </w:rPr>
      </w:pPr>
      <w:r w:rsidRPr="00793FF1">
        <w:rPr>
          <w:rFonts w:ascii="Arial" w:hAnsi="Arial" w:cs="Arial"/>
          <w:sz w:val="24"/>
          <w:szCs w:val="24"/>
        </w:rPr>
        <w:t xml:space="preserve">Kerangka Ekonomi Daerah dan Keuangan Daerah merupakan salah satu bagian penting dalam Perubahan RKPD Tahun 2021. Melalui analisis kondisi ekonomi terkini dapat diketahui berapa kapasitas riil keuangan daerah yang dapat dikelola dan dimanfaatkan untuk pelaksanaan pembangunan sampai dengan akhir Tahun 2021. </w:t>
      </w:r>
    </w:p>
    <w:p w:rsidR="006536A5" w:rsidRPr="00793FF1" w:rsidRDefault="006536A5" w:rsidP="00611D25">
      <w:pPr>
        <w:pStyle w:val="ListParagraph"/>
        <w:numPr>
          <w:ilvl w:val="0"/>
          <w:numId w:val="58"/>
        </w:numPr>
        <w:tabs>
          <w:tab w:val="left" w:pos="851"/>
        </w:tabs>
        <w:spacing w:after="0" w:line="360" w:lineRule="auto"/>
        <w:ind w:left="284" w:hanging="284"/>
        <w:rPr>
          <w:rFonts w:ascii="Arial" w:hAnsi="Arial" w:cs="Arial"/>
          <w:b/>
          <w:sz w:val="24"/>
          <w:szCs w:val="24"/>
        </w:rPr>
      </w:pPr>
      <w:r w:rsidRPr="00793FF1">
        <w:rPr>
          <w:rFonts w:ascii="Arial" w:hAnsi="Arial" w:cs="Arial"/>
          <w:b/>
          <w:sz w:val="24"/>
          <w:szCs w:val="24"/>
        </w:rPr>
        <w:t>Kebijakan Ekonomi Daerah</w:t>
      </w:r>
    </w:p>
    <w:p w:rsidR="006536A5" w:rsidRPr="00793FF1" w:rsidRDefault="006536A5" w:rsidP="006536A5">
      <w:pPr>
        <w:spacing w:after="120" w:line="360" w:lineRule="auto"/>
        <w:ind w:firstLine="851"/>
        <w:jc w:val="both"/>
        <w:rPr>
          <w:rFonts w:ascii="Arial" w:hAnsi="Arial" w:cs="Arial"/>
          <w:sz w:val="24"/>
          <w:szCs w:val="24"/>
        </w:rPr>
      </w:pPr>
      <w:r w:rsidRPr="00793FF1">
        <w:rPr>
          <w:rFonts w:ascii="Arial" w:hAnsi="Arial" w:cs="Arial"/>
          <w:sz w:val="24"/>
          <w:szCs w:val="24"/>
        </w:rPr>
        <w:t>Perubahan RKPD Kabupaten Kepulauan Selayar Tahun 2021 disusun berdasarkan berbagai asumsi dasar diantaranya asumsi indikator makro ekonomi baik nasional maupun daerah. Indikator makro ekonomi digunakan untuk mengevaluasi keadaan ekonomi saat ini dan membantu prediksi kinerja ekonomi di masa depan. Perekonomian Kabupaten Kepulauan Selayar direpresentasikan melalui beberapa indikator makro yang diuraikan berikut ini.</w:t>
      </w:r>
    </w:p>
    <w:p w:rsidR="006536A5" w:rsidRPr="00793FF1" w:rsidRDefault="006536A5" w:rsidP="00611D25">
      <w:pPr>
        <w:pStyle w:val="ListParagraph"/>
        <w:numPr>
          <w:ilvl w:val="0"/>
          <w:numId w:val="59"/>
        </w:numPr>
        <w:tabs>
          <w:tab w:val="left" w:pos="851"/>
        </w:tabs>
        <w:spacing w:after="0" w:line="360" w:lineRule="auto"/>
        <w:ind w:left="426" w:hanging="426"/>
        <w:jc w:val="both"/>
        <w:rPr>
          <w:rFonts w:ascii="Arial" w:hAnsi="Arial" w:cs="Arial"/>
          <w:b/>
          <w:sz w:val="24"/>
          <w:szCs w:val="24"/>
        </w:rPr>
      </w:pPr>
      <w:r w:rsidRPr="00793FF1">
        <w:rPr>
          <w:rFonts w:ascii="Arial" w:hAnsi="Arial" w:cs="Arial"/>
          <w:b/>
          <w:sz w:val="24"/>
          <w:szCs w:val="24"/>
        </w:rPr>
        <w:t>Kondisi dan Perubahan Target Ekonomi Makro</w:t>
      </w:r>
    </w:p>
    <w:p w:rsidR="006536A5" w:rsidRPr="00793FF1" w:rsidRDefault="006536A5" w:rsidP="00611D25">
      <w:pPr>
        <w:pStyle w:val="ListParagraph"/>
        <w:numPr>
          <w:ilvl w:val="0"/>
          <w:numId w:val="60"/>
        </w:numPr>
        <w:tabs>
          <w:tab w:val="left" w:pos="851"/>
        </w:tabs>
        <w:spacing w:after="0" w:line="360" w:lineRule="auto"/>
        <w:ind w:left="284" w:hanging="284"/>
        <w:jc w:val="both"/>
        <w:rPr>
          <w:rFonts w:ascii="Arial" w:hAnsi="Arial" w:cs="Arial"/>
          <w:b/>
          <w:sz w:val="24"/>
          <w:szCs w:val="24"/>
        </w:rPr>
      </w:pPr>
      <w:r w:rsidRPr="00793FF1">
        <w:rPr>
          <w:rFonts w:ascii="Arial" w:hAnsi="Arial" w:cs="Arial"/>
          <w:b/>
          <w:sz w:val="24"/>
          <w:szCs w:val="24"/>
        </w:rPr>
        <w:t>Pertumbuhan Ekonomi Nasional</w:t>
      </w:r>
    </w:p>
    <w:p w:rsidR="006536A5" w:rsidRPr="00793FF1" w:rsidRDefault="006536A5" w:rsidP="006536A5">
      <w:pPr>
        <w:tabs>
          <w:tab w:val="left" w:pos="851"/>
        </w:tabs>
        <w:spacing w:after="0" w:line="360" w:lineRule="auto"/>
        <w:ind w:firstLine="851"/>
        <w:jc w:val="both"/>
      </w:pPr>
      <w:r w:rsidRPr="00793FF1">
        <w:rPr>
          <w:rFonts w:ascii="Arial" w:hAnsi="Arial" w:cs="Arial"/>
          <w:sz w:val="24"/>
          <w:szCs w:val="24"/>
        </w:rPr>
        <w:t>Perekonomian Indonesia pada tahun 2020 mengalami tekanan besar akibat pandemi COVID-19. Kontraksi pertumbuhan ekonomi Indonesia secara keseluruhan tahun 2020 sebesar 2</w:t>
      </w:r>
      <w:proofErr w:type="gramStart"/>
      <w:r w:rsidRPr="00793FF1">
        <w:rPr>
          <w:rFonts w:ascii="Arial" w:hAnsi="Arial" w:cs="Arial"/>
          <w:sz w:val="24"/>
          <w:szCs w:val="24"/>
        </w:rPr>
        <w:t>,1</w:t>
      </w:r>
      <w:proofErr w:type="gramEnd"/>
      <w:r w:rsidRPr="00793FF1">
        <w:rPr>
          <w:rFonts w:ascii="Arial" w:hAnsi="Arial" w:cs="Arial"/>
          <w:sz w:val="24"/>
          <w:szCs w:val="24"/>
        </w:rPr>
        <w:t xml:space="preserve"> persen, merupakan yang pertama kali sejak krisis ekonomi Asia tahun 1997/1998. Hal ini berpotensi membawa Indonesia turun ke dalam kategori negara berpendapatan menengah-bawah (</w:t>
      </w:r>
      <w:r w:rsidRPr="00793FF1">
        <w:rPr>
          <w:rFonts w:ascii="Arial" w:hAnsi="Arial" w:cs="Arial"/>
          <w:i/>
          <w:sz w:val="24"/>
          <w:szCs w:val="24"/>
        </w:rPr>
        <w:t>lower middle income countries</w:t>
      </w:r>
      <w:r w:rsidRPr="00793FF1">
        <w:rPr>
          <w:rFonts w:ascii="Arial" w:hAnsi="Arial" w:cs="Arial"/>
          <w:sz w:val="24"/>
          <w:szCs w:val="24"/>
        </w:rPr>
        <w:t>), setelah sempat masuk ke kategori negara berpendapatan menengah-atas (</w:t>
      </w:r>
      <w:r w:rsidRPr="00793FF1">
        <w:rPr>
          <w:rFonts w:ascii="Arial" w:hAnsi="Arial" w:cs="Arial"/>
          <w:i/>
          <w:sz w:val="24"/>
          <w:szCs w:val="24"/>
        </w:rPr>
        <w:t>upper middle income countries</w:t>
      </w:r>
      <w:r w:rsidRPr="00793FF1">
        <w:rPr>
          <w:rFonts w:ascii="Arial" w:hAnsi="Arial" w:cs="Arial"/>
          <w:sz w:val="24"/>
          <w:szCs w:val="24"/>
        </w:rPr>
        <w:t>) pada tahun 2019. Perlambatan pertumbuhan Indonesia tahun 2020 terjadi pada semua komponen PDB, baik dari sisi pengeluaran, lapangan usaha, maupun wilayah.</w:t>
      </w:r>
      <w:r w:rsidRPr="00793FF1">
        <w:t xml:space="preserve"> </w:t>
      </w:r>
    </w:p>
    <w:p w:rsidR="006536A5" w:rsidRPr="00793FF1" w:rsidRDefault="006536A5" w:rsidP="006536A5">
      <w:pPr>
        <w:tabs>
          <w:tab w:val="left" w:pos="851"/>
        </w:tabs>
        <w:spacing w:after="0" w:line="360" w:lineRule="auto"/>
        <w:ind w:firstLine="851"/>
        <w:jc w:val="both"/>
        <w:rPr>
          <w:rFonts w:ascii="Arial" w:hAnsi="Arial" w:cs="Arial"/>
          <w:sz w:val="24"/>
          <w:szCs w:val="24"/>
        </w:rPr>
      </w:pPr>
      <w:r w:rsidRPr="00793FF1">
        <w:rPr>
          <w:rFonts w:ascii="Arial" w:hAnsi="Arial" w:cs="Arial"/>
          <w:sz w:val="24"/>
          <w:szCs w:val="24"/>
        </w:rPr>
        <w:t>Dari sisi PDB pengeluaran, pada tahun 2020, konsumsi masyarakat yang meliputi konsumsi rumah tangga dan Lembaga Non-Profit yang Melayani Rumah Tangga (LNPRT), terkontraksi sebesar 2</w:t>
      </w:r>
      <w:proofErr w:type="gramStart"/>
      <w:r w:rsidRPr="00793FF1">
        <w:rPr>
          <w:rFonts w:ascii="Arial" w:hAnsi="Arial" w:cs="Arial"/>
          <w:sz w:val="24"/>
          <w:szCs w:val="24"/>
        </w:rPr>
        <w:t>,7</w:t>
      </w:r>
      <w:proofErr w:type="gramEnd"/>
      <w:r w:rsidRPr="00793FF1">
        <w:rPr>
          <w:rFonts w:ascii="Arial" w:hAnsi="Arial" w:cs="Arial"/>
          <w:sz w:val="24"/>
          <w:szCs w:val="24"/>
        </w:rPr>
        <w:t xml:space="preserve"> persen. Hal ini disebabkan oleh berkurangnya permintaan dan penurunan daya beli masyarakat sebagai dampak pembatasan sosial yang diberlakukan hampir sepanjang 2020. Untuk konsumsi LNPRT, penyelenggaraan pemilihan kepala daerah (Pilkada) yang diselenggarakan pada akhir 2020, tidak dapat mendorong pertumbuhan secara signifikan. Konsumsi pemerintah menjadi satu-satunya komponen PDB </w:t>
      </w:r>
      <w:r w:rsidRPr="00793FF1">
        <w:rPr>
          <w:rFonts w:ascii="Arial" w:hAnsi="Arial" w:cs="Arial"/>
          <w:sz w:val="24"/>
          <w:szCs w:val="24"/>
        </w:rPr>
        <w:lastRenderedPageBreak/>
        <w:t>pengeluaran yang mampu bertahan dengan pertumbuhan sebesar 1</w:t>
      </w:r>
      <w:proofErr w:type="gramStart"/>
      <w:r w:rsidRPr="00793FF1">
        <w:rPr>
          <w:rFonts w:ascii="Arial" w:hAnsi="Arial" w:cs="Arial"/>
          <w:sz w:val="24"/>
          <w:szCs w:val="24"/>
        </w:rPr>
        <w:t>,9</w:t>
      </w:r>
      <w:proofErr w:type="gramEnd"/>
      <w:r w:rsidRPr="00793FF1">
        <w:rPr>
          <w:rFonts w:ascii="Arial" w:hAnsi="Arial" w:cs="Arial"/>
          <w:sz w:val="24"/>
          <w:szCs w:val="24"/>
        </w:rPr>
        <w:t xml:space="preserve"> persen. Realisasi belanja negara mencapai 94</w:t>
      </w:r>
      <w:proofErr w:type="gramStart"/>
      <w:r w:rsidRPr="00793FF1">
        <w:rPr>
          <w:rFonts w:ascii="Arial" w:hAnsi="Arial" w:cs="Arial"/>
          <w:sz w:val="24"/>
          <w:szCs w:val="24"/>
        </w:rPr>
        <w:t>,6</w:t>
      </w:r>
      <w:proofErr w:type="gramEnd"/>
      <w:r w:rsidRPr="00793FF1">
        <w:rPr>
          <w:rFonts w:ascii="Arial" w:hAnsi="Arial" w:cs="Arial"/>
          <w:sz w:val="24"/>
          <w:szCs w:val="24"/>
        </w:rPr>
        <w:t xml:space="preserve"> persen dari pagu, atau naik 12,2 persen dari realisasi tahun sebelumnya. Kondisi ini didukung oleh peningkatan stimulus fiskal dalam bentuk program Pemulihan Ekonomi Nasional (PEN). Pembentukan modal tetap bruto atau investasi terkontraksi sebesar 4</w:t>
      </w:r>
      <w:proofErr w:type="gramStart"/>
      <w:r w:rsidRPr="00793FF1">
        <w:rPr>
          <w:rFonts w:ascii="Arial" w:hAnsi="Arial" w:cs="Arial"/>
          <w:sz w:val="24"/>
          <w:szCs w:val="24"/>
        </w:rPr>
        <w:t>,9</w:t>
      </w:r>
      <w:proofErr w:type="gramEnd"/>
      <w:r w:rsidRPr="00793FF1">
        <w:rPr>
          <w:rFonts w:ascii="Arial" w:hAnsi="Arial" w:cs="Arial"/>
          <w:sz w:val="24"/>
          <w:szCs w:val="24"/>
        </w:rPr>
        <w:t xml:space="preserve"> persen, sejalan dengan pelemahan investasi swasta dan pemerintah. Ekspor dan impor barang jasa terkena dampak negatif cukup besar dengan kontraksi masing-masing sebesar 7</w:t>
      </w:r>
      <w:proofErr w:type="gramStart"/>
      <w:r w:rsidRPr="00793FF1">
        <w:rPr>
          <w:rFonts w:ascii="Arial" w:hAnsi="Arial" w:cs="Arial"/>
          <w:sz w:val="24"/>
          <w:szCs w:val="24"/>
        </w:rPr>
        <w:t>,7</w:t>
      </w:r>
      <w:proofErr w:type="gramEnd"/>
      <w:r w:rsidRPr="00793FF1">
        <w:rPr>
          <w:rFonts w:ascii="Arial" w:hAnsi="Arial" w:cs="Arial"/>
          <w:sz w:val="24"/>
          <w:szCs w:val="24"/>
        </w:rPr>
        <w:t xml:space="preserve"> dan 14,7 persen, yang disebabkan oleh turunnya aktivitas perdagangan global dan jumlah wisatawan secara signifikan. </w:t>
      </w:r>
    </w:p>
    <w:p w:rsidR="006536A5" w:rsidRPr="00793FF1" w:rsidRDefault="006536A5" w:rsidP="006536A5">
      <w:pPr>
        <w:tabs>
          <w:tab w:val="left" w:pos="851"/>
        </w:tabs>
        <w:spacing w:after="0" w:line="360" w:lineRule="auto"/>
        <w:ind w:firstLine="851"/>
        <w:jc w:val="both"/>
        <w:rPr>
          <w:rFonts w:ascii="Arial" w:hAnsi="Arial" w:cs="Arial"/>
          <w:sz w:val="24"/>
          <w:szCs w:val="24"/>
        </w:rPr>
      </w:pPr>
      <w:r w:rsidRPr="00793FF1">
        <w:rPr>
          <w:rFonts w:ascii="Arial" w:hAnsi="Arial" w:cs="Arial"/>
          <w:sz w:val="24"/>
          <w:szCs w:val="24"/>
        </w:rPr>
        <w:t>Pada tahun 2021 ekonomi Indonesia diharapkan tumbuh hingga 4</w:t>
      </w:r>
      <w:proofErr w:type="gramStart"/>
      <w:r w:rsidRPr="00793FF1">
        <w:rPr>
          <w:rFonts w:ascii="Arial" w:hAnsi="Arial" w:cs="Arial"/>
          <w:sz w:val="24"/>
          <w:szCs w:val="24"/>
        </w:rPr>
        <w:t>,8</w:t>
      </w:r>
      <w:proofErr w:type="gramEnd"/>
      <w:r w:rsidRPr="00793FF1">
        <w:rPr>
          <w:rFonts w:ascii="Arial" w:hAnsi="Arial" w:cs="Arial"/>
          <w:sz w:val="24"/>
          <w:szCs w:val="24"/>
        </w:rPr>
        <w:t xml:space="preserve"> persen, dengan kisaran 4,5–5,3 persen. Namun, proses pemulihan ini berpotensi berjalan lambat, dipengaruhi oleh penambahan kasus COVID-19 harian yang masih tinggi serta munculnya varian baru virus Corona. Keberhasilan kebijakan penanganan COVID-19 </w:t>
      </w:r>
      <w:proofErr w:type="gramStart"/>
      <w:r w:rsidRPr="00793FF1">
        <w:rPr>
          <w:rFonts w:ascii="Arial" w:hAnsi="Arial" w:cs="Arial"/>
          <w:sz w:val="24"/>
          <w:szCs w:val="24"/>
        </w:rPr>
        <w:t>akan</w:t>
      </w:r>
      <w:proofErr w:type="gramEnd"/>
      <w:r w:rsidRPr="00793FF1">
        <w:rPr>
          <w:rFonts w:ascii="Arial" w:hAnsi="Arial" w:cs="Arial"/>
          <w:sz w:val="24"/>
          <w:szCs w:val="24"/>
        </w:rPr>
        <w:t xml:space="preserve"> menjadi kunci meningkatnya keyakinan masyarakat serta dunia usaha, yang kemudian dapat meningkatkan konsumsi dan investasi. Pemberian vaksin COVID-19 juga </w:t>
      </w:r>
      <w:proofErr w:type="gramStart"/>
      <w:r w:rsidRPr="00793FF1">
        <w:rPr>
          <w:rFonts w:ascii="Arial" w:hAnsi="Arial" w:cs="Arial"/>
          <w:sz w:val="24"/>
          <w:szCs w:val="24"/>
        </w:rPr>
        <w:t>akan</w:t>
      </w:r>
      <w:proofErr w:type="gramEnd"/>
      <w:r w:rsidRPr="00793FF1">
        <w:rPr>
          <w:rFonts w:ascii="Arial" w:hAnsi="Arial" w:cs="Arial"/>
          <w:sz w:val="24"/>
          <w:szCs w:val="24"/>
        </w:rPr>
        <w:t xml:space="preserve"> memulihkan keyakinan masyarakat dalam melakukan aktivitas ekonomi. Perkembangan vaksinasi Indonesia menunjukkan perkembangan positif dan terus bergulir sejak Januari 2021. </w:t>
      </w:r>
    </w:p>
    <w:p w:rsidR="006536A5" w:rsidRPr="00793FF1" w:rsidRDefault="006536A5" w:rsidP="006536A5">
      <w:pPr>
        <w:tabs>
          <w:tab w:val="left" w:pos="851"/>
        </w:tabs>
        <w:spacing w:after="0" w:line="360" w:lineRule="auto"/>
        <w:ind w:firstLine="851"/>
        <w:jc w:val="both"/>
        <w:rPr>
          <w:rFonts w:ascii="Arial" w:hAnsi="Arial" w:cs="Arial"/>
          <w:sz w:val="24"/>
          <w:szCs w:val="24"/>
        </w:rPr>
      </w:pPr>
      <w:r w:rsidRPr="00793FF1">
        <w:rPr>
          <w:rFonts w:ascii="Arial" w:hAnsi="Arial" w:cs="Arial"/>
          <w:sz w:val="24"/>
          <w:szCs w:val="24"/>
        </w:rPr>
        <w:t>Investasi diharapkan menjadi kunci pemulihan ekonomi agar mampu menciptakan lapangan pekerjaan dan meningkatkan kapasitas produktif perekonomian. Pemulihan ekonomi secara bertahap dan alokasi belanja modal yang lebih besar, diperkirakan mampu mendorong pertumbuhan investasi hingga 6</w:t>
      </w:r>
      <w:proofErr w:type="gramStart"/>
      <w:r w:rsidRPr="00793FF1">
        <w:rPr>
          <w:rFonts w:ascii="Arial" w:hAnsi="Arial" w:cs="Arial"/>
          <w:sz w:val="24"/>
          <w:szCs w:val="24"/>
        </w:rPr>
        <w:t>,2</w:t>
      </w:r>
      <w:proofErr w:type="gramEnd"/>
      <w:r w:rsidRPr="00793FF1">
        <w:rPr>
          <w:rFonts w:ascii="Arial" w:hAnsi="Arial" w:cs="Arial"/>
          <w:sz w:val="24"/>
          <w:szCs w:val="24"/>
        </w:rPr>
        <w:t xml:space="preserve"> persen pada tahun 2021. </w:t>
      </w:r>
    </w:p>
    <w:p w:rsidR="006536A5" w:rsidRPr="00793FF1" w:rsidRDefault="006536A5" w:rsidP="006536A5">
      <w:pPr>
        <w:tabs>
          <w:tab w:val="left" w:pos="851"/>
        </w:tabs>
        <w:spacing w:after="0" w:line="360" w:lineRule="auto"/>
        <w:ind w:firstLine="851"/>
        <w:jc w:val="both"/>
        <w:rPr>
          <w:rFonts w:ascii="Arial" w:hAnsi="Arial" w:cs="Arial"/>
          <w:sz w:val="24"/>
          <w:szCs w:val="24"/>
        </w:rPr>
      </w:pPr>
      <w:r w:rsidRPr="00793FF1">
        <w:rPr>
          <w:rFonts w:ascii="Arial" w:hAnsi="Arial" w:cs="Arial"/>
          <w:sz w:val="24"/>
          <w:szCs w:val="24"/>
        </w:rPr>
        <w:t>Konsumsi masyarakat diperkirakan pulih seiring dengan perbaikan daya beli masyarakat dan berangsur normalnya perekonomian sebagai dampak positif vaksinasi. Konsumsi masyarakat diperkirakan akan tumbuh 3</w:t>
      </w:r>
      <w:proofErr w:type="gramStart"/>
      <w:r w:rsidRPr="00793FF1">
        <w:rPr>
          <w:rFonts w:ascii="Arial" w:hAnsi="Arial" w:cs="Arial"/>
          <w:sz w:val="24"/>
          <w:szCs w:val="24"/>
        </w:rPr>
        <w:t>,7</w:t>
      </w:r>
      <w:proofErr w:type="gramEnd"/>
      <w:r w:rsidRPr="00793FF1">
        <w:rPr>
          <w:rFonts w:ascii="Arial" w:hAnsi="Arial" w:cs="Arial"/>
          <w:sz w:val="24"/>
          <w:szCs w:val="24"/>
        </w:rPr>
        <w:t xml:space="preserve"> persen, sementara konsumsi pemerintah diperkirakan tumbuh 4,8 persen. Hal ini dipengaruhi oleh stimulus PEN serta program vaksinasi. Kinerja ekspor diperkirakan mengalami akselerasi seiring dengan pemulihan ekonomi global, utamanya mitra dagang utama Indonesia, yaitu Cina, dan peningkatan harga komoditas internasional. Dikombinasikan dengan pemanfaatan beberapa perjanjian perdagangan bilateral maupun regional, kinerja ekspor Indonesia diperkirakan meningkat 11</w:t>
      </w:r>
      <w:proofErr w:type="gramStart"/>
      <w:r w:rsidRPr="00793FF1">
        <w:rPr>
          <w:rFonts w:ascii="Arial" w:hAnsi="Arial" w:cs="Arial"/>
          <w:sz w:val="24"/>
          <w:szCs w:val="24"/>
        </w:rPr>
        <w:t>,5</w:t>
      </w:r>
      <w:proofErr w:type="gramEnd"/>
      <w:r w:rsidRPr="00793FF1">
        <w:rPr>
          <w:rFonts w:ascii="Arial" w:hAnsi="Arial" w:cs="Arial"/>
          <w:sz w:val="24"/>
          <w:szCs w:val="24"/>
        </w:rPr>
        <w:t xml:space="preserve"> persen. Sementara itu, impor diperkirakan </w:t>
      </w:r>
      <w:r w:rsidRPr="00793FF1">
        <w:rPr>
          <w:rFonts w:ascii="Arial" w:hAnsi="Arial" w:cs="Arial"/>
          <w:sz w:val="24"/>
          <w:szCs w:val="24"/>
        </w:rPr>
        <w:lastRenderedPageBreak/>
        <w:t>tumbuh 12</w:t>
      </w:r>
      <w:proofErr w:type="gramStart"/>
      <w:r w:rsidRPr="00793FF1">
        <w:rPr>
          <w:rFonts w:ascii="Arial" w:hAnsi="Arial" w:cs="Arial"/>
          <w:sz w:val="24"/>
          <w:szCs w:val="24"/>
        </w:rPr>
        <w:t>,9</w:t>
      </w:r>
      <w:proofErr w:type="gramEnd"/>
      <w:r w:rsidRPr="00793FF1">
        <w:rPr>
          <w:rFonts w:ascii="Arial" w:hAnsi="Arial" w:cs="Arial"/>
          <w:sz w:val="24"/>
          <w:szCs w:val="24"/>
        </w:rPr>
        <w:t xml:space="preserve"> persen, didorong oleh perbaikan permintaan domestik secara bertahap. </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Tabel 3.1</w:t>
      </w:r>
    </w:p>
    <w:p w:rsidR="006536A5" w:rsidRPr="00793FF1" w:rsidRDefault="006536A5" w:rsidP="006536A5">
      <w:pPr>
        <w:tabs>
          <w:tab w:val="left" w:pos="851"/>
        </w:tabs>
        <w:spacing w:after="120" w:line="240" w:lineRule="auto"/>
        <w:jc w:val="center"/>
        <w:rPr>
          <w:rFonts w:ascii="Arial" w:hAnsi="Arial" w:cs="Arial"/>
          <w:b/>
        </w:rPr>
      </w:pPr>
      <w:r w:rsidRPr="00793FF1">
        <w:rPr>
          <w:rFonts w:ascii="Arial" w:hAnsi="Arial" w:cs="Arial"/>
          <w:b/>
        </w:rPr>
        <w:t>Pertumbuhan PDB dari Sisi Permintaan Tahun 2020-2021 (Persen)</w:t>
      </w:r>
    </w:p>
    <w:tbl>
      <w:tblPr>
        <w:tblW w:w="8080" w:type="dxa"/>
        <w:jc w:val="center"/>
        <w:tblLook w:val="04A0" w:firstRow="1" w:lastRow="0" w:firstColumn="1" w:lastColumn="0" w:noHBand="0" w:noVBand="1"/>
      </w:tblPr>
      <w:tblGrid>
        <w:gridCol w:w="2920"/>
        <w:gridCol w:w="1580"/>
        <w:gridCol w:w="1879"/>
        <w:gridCol w:w="1701"/>
      </w:tblGrid>
      <w:tr w:rsidR="00793FF1" w:rsidRPr="00793FF1" w:rsidTr="00BD793E">
        <w:trPr>
          <w:trHeight w:val="600"/>
          <w:jc w:val="center"/>
        </w:trPr>
        <w:tc>
          <w:tcPr>
            <w:tcW w:w="2920" w:type="dxa"/>
            <w:vMerge w:val="restart"/>
            <w:tcBorders>
              <w:top w:val="single" w:sz="4" w:space="0" w:color="8EA9DB"/>
              <w:left w:val="single" w:sz="4" w:space="0" w:color="8EA9DB"/>
              <w:right w:val="single" w:sz="4" w:space="0" w:color="8EA9DB"/>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b/>
                <w:bCs/>
              </w:rPr>
            </w:pPr>
            <w:r w:rsidRPr="00793FF1">
              <w:rPr>
                <w:rFonts w:ascii="Arial" w:eastAsia="Times New Roman" w:hAnsi="Arial" w:cs="Arial"/>
                <w:b/>
                <w:bCs/>
              </w:rPr>
              <w:t>Uraian</w:t>
            </w:r>
          </w:p>
        </w:tc>
        <w:tc>
          <w:tcPr>
            <w:tcW w:w="1580" w:type="dxa"/>
            <w:tcBorders>
              <w:top w:val="single" w:sz="4" w:space="0" w:color="8EA9DB"/>
              <w:left w:val="single" w:sz="4" w:space="0" w:color="8EA9DB"/>
              <w:bottom w:val="single" w:sz="4" w:space="0" w:color="8EA9DB"/>
              <w:right w:val="single" w:sz="4" w:space="0" w:color="8EA9DB"/>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b/>
                <w:bCs/>
              </w:rPr>
            </w:pPr>
            <w:r w:rsidRPr="00793FF1">
              <w:rPr>
                <w:rFonts w:ascii="Arial" w:eastAsia="Times New Roman" w:hAnsi="Arial" w:cs="Arial"/>
                <w:b/>
                <w:bCs/>
              </w:rPr>
              <w:t>Realisasi  Tahun 2020</w:t>
            </w:r>
          </w:p>
        </w:tc>
        <w:tc>
          <w:tcPr>
            <w:tcW w:w="1879" w:type="dxa"/>
            <w:tcBorders>
              <w:top w:val="single" w:sz="4" w:space="0" w:color="8EA9DB"/>
              <w:left w:val="single" w:sz="4" w:space="0" w:color="8EA9DB"/>
              <w:bottom w:val="single" w:sz="4" w:space="0" w:color="8EA9DB"/>
              <w:right w:val="single" w:sz="4" w:space="0" w:color="8EA9DB"/>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b/>
                <w:bCs/>
              </w:rPr>
            </w:pPr>
            <w:r w:rsidRPr="00793FF1">
              <w:rPr>
                <w:rFonts w:ascii="Arial" w:eastAsia="Times New Roman" w:hAnsi="Arial" w:cs="Arial"/>
                <w:b/>
                <w:bCs/>
              </w:rPr>
              <w:t xml:space="preserve">Target RPJMN Tahun 2021 </w:t>
            </w:r>
          </w:p>
        </w:tc>
        <w:tc>
          <w:tcPr>
            <w:tcW w:w="1701" w:type="dxa"/>
            <w:tcBorders>
              <w:top w:val="single" w:sz="4" w:space="0" w:color="8EA9DB"/>
              <w:left w:val="single" w:sz="4" w:space="0" w:color="8EA9DB"/>
              <w:bottom w:val="single" w:sz="4" w:space="0" w:color="8EA9DB"/>
              <w:right w:val="single" w:sz="4" w:space="0" w:color="8EA9DB"/>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b/>
                <w:bCs/>
              </w:rPr>
            </w:pPr>
            <w:r w:rsidRPr="00793FF1">
              <w:rPr>
                <w:rFonts w:ascii="Arial" w:eastAsia="Times New Roman" w:hAnsi="Arial" w:cs="Arial"/>
                <w:b/>
                <w:bCs/>
              </w:rPr>
              <w:t>Target RKP Tahun 2021</w:t>
            </w:r>
          </w:p>
        </w:tc>
      </w:tr>
      <w:tr w:rsidR="00793FF1" w:rsidRPr="00793FF1" w:rsidTr="00BD793E">
        <w:trPr>
          <w:trHeight w:val="300"/>
          <w:jc w:val="center"/>
        </w:trPr>
        <w:tc>
          <w:tcPr>
            <w:tcW w:w="2920" w:type="dxa"/>
            <w:vMerge/>
            <w:tcBorders>
              <w:left w:val="single" w:sz="4" w:space="0" w:color="8EA9DB"/>
              <w:bottom w:val="single" w:sz="4" w:space="0" w:color="8EA9DB"/>
              <w:right w:val="single" w:sz="4" w:space="0" w:color="8EA9DB"/>
            </w:tcBorders>
            <w:shd w:val="clear" w:color="B4C6E7" w:fill="B4C6E7"/>
            <w:vAlign w:val="center"/>
            <w:hideMark/>
          </w:tcPr>
          <w:p w:rsidR="006536A5" w:rsidRPr="00793FF1" w:rsidRDefault="006536A5" w:rsidP="00BD793E">
            <w:pPr>
              <w:spacing w:after="0" w:line="240" w:lineRule="auto"/>
              <w:jc w:val="center"/>
              <w:rPr>
                <w:rFonts w:ascii="Arial" w:eastAsia="Times New Roman" w:hAnsi="Arial" w:cs="Arial"/>
                <w:b/>
                <w:bCs/>
              </w:rPr>
            </w:pPr>
          </w:p>
        </w:tc>
        <w:tc>
          <w:tcPr>
            <w:tcW w:w="1580" w:type="dxa"/>
            <w:tcBorders>
              <w:top w:val="single" w:sz="4" w:space="0" w:color="8EA9DB"/>
              <w:left w:val="single" w:sz="4" w:space="0" w:color="8EA9DB"/>
              <w:bottom w:val="single" w:sz="4" w:space="0" w:color="8EA9DB"/>
              <w:right w:val="single" w:sz="4" w:space="0" w:color="8EA9DB"/>
            </w:tcBorders>
            <w:shd w:val="clear" w:color="B4C6E7" w:fill="B4C6E7"/>
            <w:noWrap/>
            <w:vAlign w:val="bottom"/>
            <w:hideMark/>
          </w:tcPr>
          <w:p w:rsidR="006536A5" w:rsidRPr="00793FF1" w:rsidRDefault="006536A5" w:rsidP="00BD793E">
            <w:pPr>
              <w:spacing w:after="0" w:line="240" w:lineRule="auto"/>
              <w:jc w:val="center"/>
              <w:rPr>
                <w:rFonts w:ascii="Arial" w:eastAsia="Times New Roman" w:hAnsi="Arial" w:cs="Arial"/>
                <w:b/>
                <w:bCs/>
              </w:rPr>
            </w:pPr>
            <w:r w:rsidRPr="00793FF1">
              <w:rPr>
                <w:rFonts w:ascii="Arial" w:eastAsia="Times New Roman" w:hAnsi="Arial" w:cs="Arial"/>
                <w:b/>
                <w:bCs/>
              </w:rPr>
              <w:t xml:space="preserve"> a)</w:t>
            </w:r>
          </w:p>
        </w:tc>
        <w:tc>
          <w:tcPr>
            <w:tcW w:w="1879" w:type="dxa"/>
            <w:tcBorders>
              <w:top w:val="single" w:sz="4" w:space="0" w:color="8EA9DB"/>
              <w:left w:val="single" w:sz="4" w:space="0" w:color="8EA9DB"/>
              <w:bottom w:val="single" w:sz="4" w:space="0" w:color="8EA9DB"/>
              <w:right w:val="single" w:sz="4" w:space="0" w:color="8EA9DB"/>
            </w:tcBorders>
            <w:shd w:val="clear" w:color="B4C6E7" w:fill="B4C6E7"/>
            <w:noWrap/>
            <w:vAlign w:val="bottom"/>
            <w:hideMark/>
          </w:tcPr>
          <w:p w:rsidR="006536A5" w:rsidRPr="00793FF1" w:rsidRDefault="006536A5" w:rsidP="00BD793E">
            <w:pPr>
              <w:spacing w:after="0" w:line="240" w:lineRule="auto"/>
              <w:jc w:val="center"/>
              <w:rPr>
                <w:rFonts w:ascii="Arial" w:eastAsia="Times New Roman" w:hAnsi="Arial" w:cs="Arial"/>
                <w:b/>
                <w:bCs/>
              </w:rPr>
            </w:pPr>
            <w:r w:rsidRPr="00793FF1">
              <w:rPr>
                <w:rFonts w:ascii="Arial" w:eastAsia="Times New Roman" w:hAnsi="Arial" w:cs="Arial"/>
                <w:b/>
                <w:bCs/>
              </w:rPr>
              <w:t>b)</w:t>
            </w:r>
          </w:p>
        </w:tc>
        <w:tc>
          <w:tcPr>
            <w:tcW w:w="1701" w:type="dxa"/>
            <w:tcBorders>
              <w:top w:val="single" w:sz="4" w:space="0" w:color="8EA9DB"/>
              <w:left w:val="single" w:sz="4" w:space="0" w:color="8EA9DB"/>
              <w:bottom w:val="single" w:sz="4" w:space="0" w:color="8EA9DB"/>
              <w:right w:val="single" w:sz="4" w:space="0" w:color="8EA9DB"/>
            </w:tcBorders>
            <w:shd w:val="clear" w:color="B4C6E7" w:fill="B4C6E7"/>
            <w:noWrap/>
            <w:vAlign w:val="bottom"/>
            <w:hideMark/>
          </w:tcPr>
          <w:p w:rsidR="006536A5" w:rsidRPr="00793FF1" w:rsidRDefault="006536A5" w:rsidP="00BD793E">
            <w:pPr>
              <w:spacing w:after="0" w:line="240" w:lineRule="auto"/>
              <w:jc w:val="center"/>
              <w:rPr>
                <w:rFonts w:ascii="Arial" w:eastAsia="Times New Roman" w:hAnsi="Arial" w:cs="Arial"/>
                <w:b/>
                <w:bCs/>
              </w:rPr>
            </w:pPr>
            <w:r w:rsidRPr="00793FF1">
              <w:rPr>
                <w:rFonts w:ascii="Arial" w:eastAsia="Times New Roman" w:hAnsi="Arial" w:cs="Arial"/>
                <w:b/>
                <w:bCs/>
              </w:rPr>
              <w:t xml:space="preserve"> c)</w:t>
            </w:r>
          </w:p>
        </w:tc>
      </w:tr>
      <w:tr w:rsidR="00793FF1" w:rsidRPr="00793FF1" w:rsidTr="00BD793E">
        <w:trPr>
          <w:trHeight w:val="300"/>
          <w:jc w:val="center"/>
        </w:trPr>
        <w:tc>
          <w:tcPr>
            <w:tcW w:w="2920" w:type="dxa"/>
            <w:tcBorders>
              <w:top w:val="single" w:sz="4" w:space="0" w:color="8EA9DB"/>
              <w:left w:val="single" w:sz="4" w:space="0" w:color="8EA9DB"/>
              <w:bottom w:val="single" w:sz="4" w:space="0" w:color="8EA9DB"/>
              <w:right w:val="single" w:sz="4" w:space="0" w:color="8EA9DB"/>
            </w:tcBorders>
            <w:shd w:val="clear" w:color="D9E1F2" w:fill="D9E1F2"/>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 xml:space="preserve">Pertumbuhan PDB </w:t>
            </w:r>
          </w:p>
        </w:tc>
        <w:tc>
          <w:tcPr>
            <w:tcW w:w="1580" w:type="dxa"/>
            <w:tcBorders>
              <w:top w:val="single" w:sz="4" w:space="0" w:color="8EA9DB"/>
              <w:left w:val="single" w:sz="4" w:space="0" w:color="8EA9DB"/>
              <w:bottom w:val="single" w:sz="4" w:space="0" w:color="8EA9DB"/>
              <w:right w:val="single" w:sz="4" w:space="0" w:color="8EA9DB"/>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-2,1</w:t>
            </w:r>
          </w:p>
        </w:tc>
        <w:tc>
          <w:tcPr>
            <w:tcW w:w="1879" w:type="dxa"/>
            <w:tcBorders>
              <w:top w:val="single" w:sz="4" w:space="0" w:color="8EA9DB"/>
              <w:left w:val="single" w:sz="4" w:space="0" w:color="8EA9DB"/>
              <w:bottom w:val="single" w:sz="4" w:space="0" w:color="8EA9DB"/>
              <w:right w:val="single" w:sz="4" w:space="0" w:color="8EA9DB"/>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5,4 – 5,7 </w:t>
            </w:r>
          </w:p>
        </w:tc>
        <w:tc>
          <w:tcPr>
            <w:tcW w:w="1701" w:type="dxa"/>
            <w:tcBorders>
              <w:top w:val="single" w:sz="4" w:space="0" w:color="8EA9DB"/>
              <w:left w:val="single" w:sz="4" w:space="0" w:color="8EA9DB"/>
              <w:bottom w:val="single" w:sz="4" w:space="0" w:color="8EA9DB"/>
              <w:right w:val="single" w:sz="4" w:space="0" w:color="8EA9DB"/>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4,8</w:t>
            </w:r>
          </w:p>
        </w:tc>
      </w:tr>
      <w:tr w:rsidR="00793FF1" w:rsidRPr="00793FF1" w:rsidTr="00BD793E">
        <w:trPr>
          <w:trHeight w:val="570"/>
          <w:jc w:val="center"/>
        </w:trPr>
        <w:tc>
          <w:tcPr>
            <w:tcW w:w="2920" w:type="dxa"/>
            <w:tcBorders>
              <w:top w:val="single" w:sz="4" w:space="0" w:color="8EA9DB"/>
              <w:left w:val="single" w:sz="4" w:space="0" w:color="8EA9DB"/>
              <w:bottom w:val="single" w:sz="4" w:space="0" w:color="8EA9DB"/>
              <w:right w:val="single" w:sz="4" w:space="0" w:color="8EA9DB"/>
            </w:tcBorders>
            <w:shd w:val="clear" w:color="B4C6E7" w:fill="B4C6E7"/>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Konsumsi Rumah Tangga dan LNPRT</w:t>
            </w:r>
          </w:p>
        </w:tc>
        <w:tc>
          <w:tcPr>
            <w:tcW w:w="1580" w:type="dxa"/>
            <w:tcBorders>
              <w:top w:val="single" w:sz="4" w:space="0" w:color="8EA9DB"/>
              <w:left w:val="single" w:sz="4" w:space="0" w:color="8EA9DB"/>
              <w:bottom w:val="single" w:sz="4" w:space="0" w:color="8EA9DB"/>
              <w:right w:val="single" w:sz="4" w:space="0" w:color="8EA9DB"/>
            </w:tcBorders>
            <w:shd w:val="clear" w:color="B4C6E7" w:fill="B4C6E7"/>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-2,7</w:t>
            </w:r>
          </w:p>
        </w:tc>
        <w:tc>
          <w:tcPr>
            <w:tcW w:w="1879" w:type="dxa"/>
            <w:tcBorders>
              <w:top w:val="single" w:sz="4" w:space="0" w:color="8EA9DB"/>
              <w:left w:val="single" w:sz="4" w:space="0" w:color="8EA9DB"/>
              <w:bottom w:val="single" w:sz="4" w:space="0" w:color="8EA9DB"/>
              <w:right w:val="single" w:sz="4" w:space="0" w:color="8EA9DB"/>
            </w:tcBorders>
            <w:shd w:val="clear" w:color="B4C6E7" w:fill="B4C6E7"/>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5,2 – 5,4</w:t>
            </w:r>
          </w:p>
        </w:tc>
        <w:tc>
          <w:tcPr>
            <w:tcW w:w="1701" w:type="dxa"/>
            <w:tcBorders>
              <w:top w:val="single" w:sz="4" w:space="0" w:color="8EA9DB"/>
              <w:left w:val="single" w:sz="4" w:space="0" w:color="8EA9DB"/>
              <w:bottom w:val="single" w:sz="4" w:space="0" w:color="8EA9DB"/>
              <w:right w:val="single" w:sz="4" w:space="0" w:color="8EA9DB"/>
            </w:tcBorders>
            <w:shd w:val="clear" w:color="B4C6E7" w:fill="B4C6E7"/>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3,7</w:t>
            </w:r>
          </w:p>
        </w:tc>
      </w:tr>
      <w:tr w:rsidR="00793FF1" w:rsidRPr="00793FF1" w:rsidTr="00BD793E">
        <w:trPr>
          <w:trHeight w:val="300"/>
          <w:jc w:val="center"/>
        </w:trPr>
        <w:tc>
          <w:tcPr>
            <w:tcW w:w="2920" w:type="dxa"/>
            <w:tcBorders>
              <w:top w:val="single" w:sz="4" w:space="0" w:color="8EA9DB"/>
              <w:left w:val="single" w:sz="4" w:space="0" w:color="8EA9DB"/>
              <w:bottom w:val="single" w:sz="4" w:space="0" w:color="8EA9DB"/>
              <w:right w:val="single" w:sz="4" w:space="0" w:color="8EA9DB"/>
            </w:tcBorders>
            <w:shd w:val="clear" w:color="D9E1F2" w:fill="D9E1F2"/>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 xml:space="preserve">Konsumsi Pemerintah </w:t>
            </w:r>
          </w:p>
        </w:tc>
        <w:tc>
          <w:tcPr>
            <w:tcW w:w="1580" w:type="dxa"/>
            <w:tcBorders>
              <w:top w:val="single" w:sz="4" w:space="0" w:color="8EA9DB"/>
              <w:left w:val="single" w:sz="4" w:space="0" w:color="8EA9DB"/>
              <w:bottom w:val="single" w:sz="4" w:space="0" w:color="8EA9DB"/>
              <w:right w:val="single" w:sz="4" w:space="0" w:color="8EA9DB"/>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1,9</w:t>
            </w:r>
          </w:p>
        </w:tc>
        <w:tc>
          <w:tcPr>
            <w:tcW w:w="1879" w:type="dxa"/>
            <w:tcBorders>
              <w:top w:val="single" w:sz="4" w:space="0" w:color="8EA9DB"/>
              <w:left w:val="single" w:sz="4" w:space="0" w:color="8EA9DB"/>
              <w:bottom w:val="single" w:sz="4" w:space="0" w:color="8EA9DB"/>
              <w:right w:val="single" w:sz="4" w:space="0" w:color="8EA9DB"/>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4,5 – 4,6 </w:t>
            </w:r>
          </w:p>
        </w:tc>
        <w:tc>
          <w:tcPr>
            <w:tcW w:w="1701" w:type="dxa"/>
            <w:tcBorders>
              <w:top w:val="single" w:sz="4" w:space="0" w:color="8EA9DB"/>
              <w:left w:val="single" w:sz="4" w:space="0" w:color="8EA9DB"/>
              <w:bottom w:val="single" w:sz="4" w:space="0" w:color="8EA9DB"/>
              <w:right w:val="single" w:sz="4" w:space="0" w:color="8EA9DB"/>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4,8</w:t>
            </w:r>
          </w:p>
        </w:tc>
      </w:tr>
      <w:tr w:rsidR="00793FF1" w:rsidRPr="00793FF1" w:rsidTr="00BD793E">
        <w:trPr>
          <w:trHeight w:val="300"/>
          <w:jc w:val="center"/>
        </w:trPr>
        <w:tc>
          <w:tcPr>
            <w:tcW w:w="2920" w:type="dxa"/>
            <w:tcBorders>
              <w:top w:val="single" w:sz="4" w:space="0" w:color="8EA9DB"/>
              <w:left w:val="single" w:sz="4" w:space="0" w:color="8EA9DB"/>
              <w:bottom w:val="single" w:sz="4" w:space="0" w:color="8EA9DB"/>
              <w:right w:val="single" w:sz="4" w:space="0" w:color="8EA9DB"/>
            </w:tcBorders>
            <w:shd w:val="clear" w:color="B4C6E7" w:fill="B4C6E7"/>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 xml:space="preserve">Investasi (PMTB) </w:t>
            </w:r>
          </w:p>
        </w:tc>
        <w:tc>
          <w:tcPr>
            <w:tcW w:w="1580" w:type="dxa"/>
            <w:tcBorders>
              <w:top w:val="single" w:sz="4" w:space="0" w:color="8EA9DB"/>
              <w:left w:val="single" w:sz="4" w:space="0" w:color="8EA9DB"/>
              <w:bottom w:val="single" w:sz="4" w:space="0" w:color="8EA9DB"/>
              <w:right w:val="single" w:sz="4" w:space="0" w:color="8EA9DB"/>
            </w:tcBorders>
            <w:shd w:val="clear" w:color="B4C6E7" w:fill="B4C6E7"/>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-4,9</w:t>
            </w:r>
          </w:p>
        </w:tc>
        <w:tc>
          <w:tcPr>
            <w:tcW w:w="1879" w:type="dxa"/>
            <w:tcBorders>
              <w:top w:val="single" w:sz="4" w:space="0" w:color="8EA9DB"/>
              <w:left w:val="single" w:sz="4" w:space="0" w:color="8EA9DB"/>
              <w:bottom w:val="single" w:sz="4" w:space="0" w:color="8EA9DB"/>
              <w:right w:val="single" w:sz="4" w:space="0" w:color="8EA9DB"/>
            </w:tcBorders>
            <w:shd w:val="clear" w:color="B4C6E7" w:fill="B4C6E7"/>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5,8 – 6,2</w:t>
            </w:r>
          </w:p>
        </w:tc>
        <w:tc>
          <w:tcPr>
            <w:tcW w:w="1701" w:type="dxa"/>
            <w:tcBorders>
              <w:top w:val="single" w:sz="4" w:space="0" w:color="8EA9DB"/>
              <w:left w:val="single" w:sz="4" w:space="0" w:color="8EA9DB"/>
              <w:bottom w:val="single" w:sz="4" w:space="0" w:color="8EA9DB"/>
              <w:right w:val="single" w:sz="4" w:space="0" w:color="8EA9DB"/>
            </w:tcBorders>
            <w:shd w:val="clear" w:color="B4C6E7" w:fill="B4C6E7"/>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6,2</w:t>
            </w:r>
          </w:p>
        </w:tc>
      </w:tr>
      <w:tr w:rsidR="00793FF1" w:rsidRPr="00793FF1" w:rsidTr="00BD793E">
        <w:trPr>
          <w:trHeight w:val="300"/>
          <w:jc w:val="center"/>
        </w:trPr>
        <w:tc>
          <w:tcPr>
            <w:tcW w:w="2920" w:type="dxa"/>
            <w:tcBorders>
              <w:top w:val="single" w:sz="4" w:space="0" w:color="8EA9DB"/>
              <w:left w:val="single" w:sz="4" w:space="0" w:color="8EA9DB"/>
              <w:bottom w:val="single" w:sz="4" w:space="0" w:color="8EA9DB"/>
              <w:right w:val="single" w:sz="4" w:space="0" w:color="8EA9DB"/>
            </w:tcBorders>
            <w:shd w:val="clear" w:color="D9E1F2" w:fill="D9E1F2"/>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 xml:space="preserve">Ekspor Barang dan Jasa </w:t>
            </w:r>
          </w:p>
        </w:tc>
        <w:tc>
          <w:tcPr>
            <w:tcW w:w="1580" w:type="dxa"/>
            <w:tcBorders>
              <w:top w:val="single" w:sz="4" w:space="0" w:color="8EA9DB"/>
              <w:left w:val="single" w:sz="4" w:space="0" w:color="8EA9DB"/>
              <w:bottom w:val="single" w:sz="4" w:space="0" w:color="8EA9DB"/>
              <w:right w:val="single" w:sz="4" w:space="0" w:color="8EA9DB"/>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-7,7</w:t>
            </w:r>
          </w:p>
        </w:tc>
        <w:tc>
          <w:tcPr>
            <w:tcW w:w="1879" w:type="dxa"/>
            <w:tcBorders>
              <w:top w:val="single" w:sz="4" w:space="0" w:color="8EA9DB"/>
              <w:left w:val="single" w:sz="4" w:space="0" w:color="8EA9DB"/>
              <w:bottom w:val="single" w:sz="4" w:space="0" w:color="8EA9DB"/>
              <w:right w:val="single" w:sz="4" w:space="0" w:color="8EA9DB"/>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3,9 – 4,2 </w:t>
            </w:r>
          </w:p>
        </w:tc>
        <w:tc>
          <w:tcPr>
            <w:tcW w:w="1701" w:type="dxa"/>
            <w:tcBorders>
              <w:top w:val="single" w:sz="4" w:space="0" w:color="8EA9DB"/>
              <w:left w:val="single" w:sz="4" w:space="0" w:color="8EA9DB"/>
              <w:bottom w:val="single" w:sz="4" w:space="0" w:color="8EA9DB"/>
              <w:right w:val="single" w:sz="4" w:space="0" w:color="8EA9DB"/>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11,5</w:t>
            </w:r>
          </w:p>
        </w:tc>
      </w:tr>
      <w:tr w:rsidR="00793FF1" w:rsidRPr="00793FF1" w:rsidTr="00BD793E">
        <w:trPr>
          <w:trHeight w:val="300"/>
          <w:jc w:val="center"/>
        </w:trPr>
        <w:tc>
          <w:tcPr>
            <w:tcW w:w="2920" w:type="dxa"/>
            <w:tcBorders>
              <w:top w:val="single" w:sz="4" w:space="0" w:color="8EA9DB"/>
              <w:left w:val="single" w:sz="4" w:space="0" w:color="8EA9DB"/>
              <w:bottom w:val="single" w:sz="4" w:space="0" w:color="8EA9DB"/>
              <w:right w:val="single" w:sz="4" w:space="0" w:color="8EA9DB"/>
            </w:tcBorders>
            <w:shd w:val="clear" w:color="B4C6E7" w:fill="B4C6E7"/>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 xml:space="preserve">Impor Barang dan Jasa </w:t>
            </w:r>
          </w:p>
        </w:tc>
        <w:tc>
          <w:tcPr>
            <w:tcW w:w="1580" w:type="dxa"/>
            <w:tcBorders>
              <w:top w:val="single" w:sz="4" w:space="0" w:color="8EA9DB"/>
              <w:left w:val="single" w:sz="4" w:space="0" w:color="8EA9DB"/>
              <w:bottom w:val="single" w:sz="4" w:space="0" w:color="8EA9DB"/>
              <w:right w:val="single" w:sz="4" w:space="0" w:color="8EA9DB"/>
            </w:tcBorders>
            <w:shd w:val="clear" w:color="B4C6E7" w:fill="B4C6E7"/>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-14,7</w:t>
            </w:r>
          </w:p>
        </w:tc>
        <w:tc>
          <w:tcPr>
            <w:tcW w:w="1879" w:type="dxa"/>
            <w:tcBorders>
              <w:top w:val="single" w:sz="4" w:space="0" w:color="8EA9DB"/>
              <w:left w:val="single" w:sz="4" w:space="0" w:color="8EA9DB"/>
              <w:bottom w:val="single" w:sz="4" w:space="0" w:color="8EA9DB"/>
              <w:right w:val="single" w:sz="4" w:space="0" w:color="8EA9DB"/>
            </w:tcBorders>
            <w:shd w:val="clear" w:color="B4C6E7" w:fill="B4C6E7"/>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4,4 – 4,6</w:t>
            </w:r>
          </w:p>
        </w:tc>
        <w:tc>
          <w:tcPr>
            <w:tcW w:w="1701" w:type="dxa"/>
            <w:tcBorders>
              <w:top w:val="single" w:sz="4" w:space="0" w:color="8EA9DB"/>
              <w:left w:val="single" w:sz="4" w:space="0" w:color="8EA9DB"/>
              <w:bottom w:val="single" w:sz="4" w:space="0" w:color="8EA9DB"/>
              <w:right w:val="single" w:sz="4" w:space="0" w:color="8EA9DB"/>
            </w:tcBorders>
            <w:shd w:val="clear" w:color="B4C6E7" w:fill="B4C6E7"/>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12,9</w:t>
            </w:r>
          </w:p>
        </w:tc>
      </w:tr>
    </w:tbl>
    <w:p w:rsidR="006536A5" w:rsidRPr="00793FF1" w:rsidRDefault="006536A5" w:rsidP="006536A5">
      <w:pPr>
        <w:tabs>
          <w:tab w:val="left" w:pos="851"/>
        </w:tabs>
        <w:spacing w:before="120" w:after="0" w:line="360" w:lineRule="auto"/>
        <w:jc w:val="both"/>
        <w:rPr>
          <w:rFonts w:ascii="Arial" w:hAnsi="Arial" w:cs="Arial"/>
          <w:i/>
          <w:sz w:val="16"/>
          <w:szCs w:val="16"/>
        </w:rPr>
      </w:pPr>
      <w:r w:rsidRPr="00793FF1">
        <w:rPr>
          <w:rFonts w:ascii="Arial" w:hAnsi="Arial" w:cs="Arial"/>
          <w:sz w:val="24"/>
          <w:szCs w:val="24"/>
        </w:rPr>
        <w:t xml:space="preserve">  </w:t>
      </w:r>
      <w:r w:rsidRPr="00793FF1">
        <w:rPr>
          <w:rFonts w:ascii="Arial" w:hAnsi="Arial" w:cs="Arial"/>
          <w:i/>
          <w:sz w:val="16"/>
          <w:szCs w:val="16"/>
        </w:rPr>
        <w:t>Sumber: a) BPS, 2020; b) RPJMN 2020 - 2024; c) Perkiraan Kementerian PPN/Bappenas, Mei 2021.</w:t>
      </w:r>
    </w:p>
    <w:p w:rsidR="006536A5" w:rsidRPr="00793FF1" w:rsidRDefault="006536A5" w:rsidP="006536A5">
      <w:pPr>
        <w:tabs>
          <w:tab w:val="left" w:pos="851"/>
        </w:tabs>
        <w:spacing w:before="120" w:after="0" w:line="360" w:lineRule="auto"/>
        <w:ind w:firstLine="851"/>
        <w:jc w:val="both"/>
        <w:rPr>
          <w:rFonts w:ascii="Arial" w:hAnsi="Arial" w:cs="Arial"/>
          <w:sz w:val="24"/>
          <w:szCs w:val="24"/>
        </w:rPr>
      </w:pPr>
      <w:r w:rsidRPr="00793FF1">
        <w:rPr>
          <w:rFonts w:ascii="Arial" w:hAnsi="Arial" w:cs="Arial"/>
          <w:sz w:val="24"/>
          <w:szCs w:val="24"/>
        </w:rPr>
        <w:t xml:space="preserve">Dari sisi lapangan usaha, sektor dengan pertumbuhan tertinggi pada tahun 2020 adalah jasa kesehatan dan kegiatan sosial sebesar 11,6 persen, diikuti sektor informasi dan komunikasi sebesar 10,6 persen. Tingginya pertumbuhan kedua sektor tersebut didorong oleh peningkatan permintaan selama masa pandemi COVID-19. Adapun sektor lainnya yang mampu tumbuh positif adalah sektor pertanian, kehutanan, dan perikanan; pengadaan air, pengelolaan sampah, limbah dan daur ulang; jasa keuangan dan asuransi; real estate; serta jasa pendidikan. Sementara itu, pertumbuhan tahunan terendah tahun 2020 dialami oleh sektor transportasi dan pergudangan serta </w:t>
      </w:r>
      <w:proofErr w:type="gramStart"/>
      <w:r w:rsidRPr="00793FF1">
        <w:rPr>
          <w:rFonts w:ascii="Arial" w:hAnsi="Arial" w:cs="Arial"/>
          <w:sz w:val="24"/>
          <w:szCs w:val="24"/>
        </w:rPr>
        <w:t>sektor</w:t>
      </w:r>
      <w:proofErr w:type="gramEnd"/>
      <w:r w:rsidRPr="00793FF1">
        <w:rPr>
          <w:rFonts w:ascii="Arial" w:hAnsi="Arial" w:cs="Arial"/>
          <w:sz w:val="24"/>
          <w:szCs w:val="24"/>
        </w:rPr>
        <w:t xml:space="preserve"> penyediaan akomodasi dan makan minum yang masing-masing terkontraksi sebesar 15,0 persen dan 10,2 persen. Sektor transportasi dan pergudangan terkontraksi karena adanya penutupan perbatasan serta penghentian sebagian besar aktivitas penerbangan domestik dan internasional. </w:t>
      </w:r>
    </w:p>
    <w:p w:rsidR="006536A5" w:rsidRPr="00793FF1" w:rsidRDefault="006536A5" w:rsidP="006536A5">
      <w:pPr>
        <w:tabs>
          <w:tab w:val="left" w:pos="851"/>
        </w:tabs>
        <w:spacing w:after="0" w:line="360" w:lineRule="auto"/>
        <w:ind w:firstLine="851"/>
        <w:jc w:val="both"/>
        <w:rPr>
          <w:rFonts w:ascii="Arial" w:hAnsi="Arial" w:cs="Arial"/>
          <w:sz w:val="24"/>
          <w:szCs w:val="24"/>
        </w:rPr>
      </w:pPr>
      <w:r w:rsidRPr="00793FF1">
        <w:rPr>
          <w:rFonts w:ascii="Arial" w:hAnsi="Arial" w:cs="Arial"/>
          <w:sz w:val="24"/>
          <w:szCs w:val="24"/>
        </w:rPr>
        <w:t xml:space="preserve">Sementara sektor penyediaan akomodasi makan dan minum hanya mampu melayani </w:t>
      </w:r>
      <w:r w:rsidRPr="00793FF1">
        <w:rPr>
          <w:rFonts w:ascii="Arial" w:hAnsi="Arial" w:cs="Arial"/>
          <w:i/>
          <w:sz w:val="24"/>
          <w:szCs w:val="24"/>
        </w:rPr>
        <w:t>delivery</w:t>
      </w:r>
      <w:r w:rsidRPr="00793FF1">
        <w:rPr>
          <w:rFonts w:ascii="Arial" w:hAnsi="Arial" w:cs="Arial"/>
          <w:sz w:val="24"/>
          <w:szCs w:val="24"/>
        </w:rPr>
        <w:t xml:space="preserve"> atau </w:t>
      </w:r>
      <w:r w:rsidRPr="00793FF1">
        <w:rPr>
          <w:rFonts w:ascii="Arial" w:hAnsi="Arial" w:cs="Arial"/>
          <w:i/>
          <w:sz w:val="24"/>
          <w:szCs w:val="24"/>
        </w:rPr>
        <w:t>take-away</w:t>
      </w:r>
      <w:r w:rsidRPr="00793FF1">
        <w:rPr>
          <w:rFonts w:ascii="Arial" w:hAnsi="Arial" w:cs="Arial"/>
          <w:sz w:val="24"/>
          <w:szCs w:val="24"/>
        </w:rPr>
        <w:t>, ditambah dengan turunnya wisatawan, baik mancanegara dan domestik, yang terlihat salah satunya dari tingkat okupansi hotel yang mengalami penurunan signifikan.</w:t>
      </w:r>
    </w:p>
    <w:p w:rsidR="006536A5" w:rsidRPr="00793FF1" w:rsidRDefault="006536A5" w:rsidP="006536A5">
      <w:pPr>
        <w:tabs>
          <w:tab w:val="left" w:pos="851"/>
        </w:tabs>
        <w:spacing w:after="0" w:line="360" w:lineRule="auto"/>
        <w:ind w:firstLine="851"/>
        <w:jc w:val="both"/>
        <w:rPr>
          <w:rFonts w:ascii="Arial" w:hAnsi="Arial" w:cs="Arial"/>
          <w:sz w:val="24"/>
          <w:szCs w:val="24"/>
        </w:rPr>
      </w:pPr>
      <w:r w:rsidRPr="00793FF1">
        <w:rPr>
          <w:rFonts w:ascii="Arial" w:hAnsi="Arial" w:cs="Arial"/>
          <w:sz w:val="24"/>
          <w:szCs w:val="24"/>
        </w:rPr>
        <w:t xml:space="preserve">Selain itu, sektor industri pengolahan, yang memiliki kontribusi paling tinggi terhadap PDB, juga mengalami kontraksi di tahun 2020 sebesar 2,9 </w:t>
      </w:r>
      <w:proofErr w:type="gramStart"/>
      <w:r w:rsidRPr="00793FF1">
        <w:rPr>
          <w:rFonts w:ascii="Arial" w:hAnsi="Arial" w:cs="Arial"/>
          <w:sz w:val="24"/>
          <w:szCs w:val="24"/>
        </w:rPr>
        <w:t>persen</w:t>
      </w:r>
      <w:proofErr w:type="gramEnd"/>
      <w:r w:rsidRPr="00793FF1">
        <w:rPr>
          <w:rFonts w:ascii="Arial" w:hAnsi="Arial" w:cs="Arial"/>
          <w:sz w:val="24"/>
          <w:szCs w:val="24"/>
        </w:rPr>
        <w:t xml:space="preserve">. Kontraksi ini lebih dalam dibandingkan kontraksi pertumbuhan ekonomi nasional. Kondisi ini terjadi sebagai dampak dari penurunan daya beli </w:t>
      </w:r>
      <w:r w:rsidRPr="00793FF1">
        <w:rPr>
          <w:rFonts w:ascii="Arial" w:hAnsi="Arial" w:cs="Arial"/>
          <w:sz w:val="24"/>
          <w:szCs w:val="24"/>
        </w:rPr>
        <w:lastRenderedPageBreak/>
        <w:t xml:space="preserve">masyarakat, aktivitas perdagangan global, dan utilisasi produksi sebagai </w:t>
      </w:r>
      <w:proofErr w:type="gramStart"/>
      <w:r w:rsidRPr="00793FF1">
        <w:rPr>
          <w:rFonts w:ascii="Arial" w:hAnsi="Arial" w:cs="Arial"/>
          <w:sz w:val="24"/>
          <w:szCs w:val="24"/>
        </w:rPr>
        <w:t>dampak</w:t>
      </w:r>
      <w:proofErr w:type="gramEnd"/>
      <w:r w:rsidRPr="00793FF1">
        <w:rPr>
          <w:rFonts w:ascii="Arial" w:hAnsi="Arial" w:cs="Arial"/>
          <w:sz w:val="24"/>
          <w:szCs w:val="24"/>
        </w:rPr>
        <w:t xml:space="preserve"> dari pandemi COVID-19. </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Tabel 3.2</w:t>
      </w:r>
    </w:p>
    <w:p w:rsidR="006536A5" w:rsidRPr="00793FF1" w:rsidRDefault="006536A5" w:rsidP="006536A5">
      <w:pPr>
        <w:tabs>
          <w:tab w:val="left" w:pos="851"/>
        </w:tabs>
        <w:spacing w:after="120" w:line="240" w:lineRule="auto"/>
        <w:jc w:val="center"/>
        <w:rPr>
          <w:rFonts w:ascii="Arial" w:hAnsi="Arial" w:cs="Arial"/>
          <w:b/>
        </w:rPr>
      </w:pPr>
      <w:r w:rsidRPr="00793FF1">
        <w:rPr>
          <w:rFonts w:ascii="Arial" w:hAnsi="Arial" w:cs="Arial"/>
          <w:b/>
        </w:rPr>
        <w:t>Pertumbuhan PDB dari Sisi Lapangan Usaha Tahun 2020–2021 (Persen, YoY)</w:t>
      </w:r>
    </w:p>
    <w:tbl>
      <w:tblPr>
        <w:tblW w:w="7916" w:type="dxa"/>
        <w:jc w:val="center"/>
        <w:tblLook w:val="04A0" w:firstRow="1" w:lastRow="0" w:firstColumn="1" w:lastColumn="0" w:noHBand="0" w:noVBand="1"/>
      </w:tblPr>
      <w:tblGrid>
        <w:gridCol w:w="2920"/>
        <w:gridCol w:w="1616"/>
        <w:gridCol w:w="1680"/>
        <w:gridCol w:w="1700"/>
      </w:tblGrid>
      <w:tr w:rsidR="00793FF1" w:rsidRPr="00793FF1" w:rsidTr="00BD793E">
        <w:trPr>
          <w:trHeight w:val="705"/>
          <w:tblHeader/>
          <w:jc w:val="center"/>
        </w:trPr>
        <w:tc>
          <w:tcPr>
            <w:tcW w:w="2920" w:type="dxa"/>
            <w:vMerge w:val="restart"/>
            <w:tcBorders>
              <w:top w:val="nil"/>
              <w:left w:val="nil"/>
              <w:right w:val="single" w:sz="4" w:space="0" w:color="FFFFFF"/>
            </w:tcBorders>
            <w:shd w:val="clear" w:color="70AD47" w:fill="70AD47"/>
            <w:vAlign w:val="center"/>
            <w:hideMark/>
          </w:tcPr>
          <w:p w:rsidR="006536A5" w:rsidRPr="00793FF1" w:rsidRDefault="006536A5" w:rsidP="00BD793E">
            <w:pPr>
              <w:spacing w:after="0" w:line="240" w:lineRule="auto"/>
              <w:jc w:val="center"/>
              <w:rPr>
                <w:rFonts w:ascii="Arial" w:eastAsia="Times New Roman" w:hAnsi="Arial" w:cs="Arial"/>
                <w:b/>
                <w:bCs/>
              </w:rPr>
            </w:pPr>
            <w:r w:rsidRPr="00793FF1">
              <w:rPr>
                <w:rFonts w:ascii="Arial" w:eastAsia="Times New Roman" w:hAnsi="Arial" w:cs="Arial"/>
                <w:b/>
                <w:bCs/>
              </w:rPr>
              <w:t>Uraian</w:t>
            </w:r>
          </w:p>
        </w:tc>
        <w:tc>
          <w:tcPr>
            <w:tcW w:w="1616" w:type="dxa"/>
            <w:tcBorders>
              <w:top w:val="nil"/>
              <w:left w:val="single" w:sz="4" w:space="0" w:color="FFFFFF"/>
              <w:bottom w:val="single" w:sz="12" w:space="0" w:color="FFFFFF"/>
              <w:right w:val="single" w:sz="4" w:space="0" w:color="FFFFFF"/>
            </w:tcBorders>
            <w:shd w:val="clear" w:color="70AD47" w:fill="70AD47"/>
            <w:vAlign w:val="center"/>
            <w:hideMark/>
          </w:tcPr>
          <w:p w:rsidR="006536A5" w:rsidRPr="00793FF1" w:rsidRDefault="006536A5" w:rsidP="00BD793E">
            <w:pPr>
              <w:spacing w:after="0" w:line="240" w:lineRule="auto"/>
              <w:jc w:val="center"/>
              <w:rPr>
                <w:rFonts w:ascii="Arial" w:eastAsia="Times New Roman" w:hAnsi="Arial" w:cs="Arial"/>
                <w:b/>
                <w:bCs/>
              </w:rPr>
            </w:pPr>
            <w:r w:rsidRPr="00793FF1">
              <w:rPr>
                <w:rFonts w:ascii="Arial" w:eastAsia="Times New Roman" w:hAnsi="Arial" w:cs="Arial"/>
                <w:b/>
                <w:bCs/>
              </w:rPr>
              <w:t>Realisasi  Tahun 2020</w:t>
            </w:r>
          </w:p>
        </w:tc>
        <w:tc>
          <w:tcPr>
            <w:tcW w:w="1680" w:type="dxa"/>
            <w:tcBorders>
              <w:top w:val="nil"/>
              <w:left w:val="single" w:sz="4" w:space="0" w:color="FFFFFF"/>
              <w:bottom w:val="single" w:sz="12" w:space="0" w:color="FFFFFF"/>
              <w:right w:val="single" w:sz="4" w:space="0" w:color="FFFFFF"/>
            </w:tcBorders>
            <w:shd w:val="clear" w:color="70AD47" w:fill="70AD47"/>
            <w:vAlign w:val="center"/>
            <w:hideMark/>
          </w:tcPr>
          <w:p w:rsidR="006536A5" w:rsidRPr="00793FF1" w:rsidRDefault="006536A5" w:rsidP="00BD793E">
            <w:pPr>
              <w:spacing w:after="0" w:line="240" w:lineRule="auto"/>
              <w:jc w:val="center"/>
              <w:rPr>
                <w:rFonts w:ascii="Arial" w:eastAsia="Times New Roman" w:hAnsi="Arial" w:cs="Arial"/>
                <w:b/>
                <w:bCs/>
              </w:rPr>
            </w:pPr>
            <w:r w:rsidRPr="00793FF1">
              <w:rPr>
                <w:rFonts w:ascii="Arial" w:eastAsia="Times New Roman" w:hAnsi="Arial" w:cs="Arial"/>
                <w:b/>
                <w:bCs/>
              </w:rPr>
              <w:t xml:space="preserve">Target RPJMN Tahun 2021 </w:t>
            </w:r>
          </w:p>
        </w:tc>
        <w:tc>
          <w:tcPr>
            <w:tcW w:w="1700" w:type="dxa"/>
            <w:tcBorders>
              <w:top w:val="nil"/>
              <w:left w:val="single" w:sz="4" w:space="0" w:color="FFFFFF"/>
              <w:bottom w:val="single" w:sz="12" w:space="0" w:color="FFFFFF"/>
              <w:right w:val="nil"/>
            </w:tcBorders>
            <w:shd w:val="clear" w:color="70AD47" w:fill="70AD47"/>
            <w:vAlign w:val="center"/>
            <w:hideMark/>
          </w:tcPr>
          <w:p w:rsidR="006536A5" w:rsidRPr="00793FF1" w:rsidRDefault="006536A5" w:rsidP="00BD793E">
            <w:pPr>
              <w:spacing w:after="0" w:line="240" w:lineRule="auto"/>
              <w:jc w:val="center"/>
              <w:rPr>
                <w:rFonts w:ascii="Arial" w:eastAsia="Times New Roman" w:hAnsi="Arial" w:cs="Arial"/>
                <w:b/>
                <w:bCs/>
              </w:rPr>
            </w:pPr>
            <w:r w:rsidRPr="00793FF1">
              <w:rPr>
                <w:rFonts w:ascii="Arial" w:eastAsia="Times New Roman" w:hAnsi="Arial" w:cs="Arial"/>
                <w:b/>
                <w:bCs/>
              </w:rPr>
              <w:t>Target RKP Tahun 2021</w:t>
            </w:r>
          </w:p>
        </w:tc>
      </w:tr>
      <w:tr w:rsidR="00793FF1" w:rsidRPr="00793FF1" w:rsidTr="00BD793E">
        <w:trPr>
          <w:trHeight w:val="240"/>
          <w:tblHeader/>
          <w:jc w:val="center"/>
        </w:trPr>
        <w:tc>
          <w:tcPr>
            <w:tcW w:w="2920" w:type="dxa"/>
            <w:vMerge/>
            <w:tcBorders>
              <w:left w:val="nil"/>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b/>
                <w:bCs/>
              </w:rPr>
            </w:pPr>
          </w:p>
        </w:tc>
        <w:tc>
          <w:tcPr>
            <w:tcW w:w="1616"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b/>
                <w:bCs/>
              </w:rPr>
            </w:pPr>
            <w:r w:rsidRPr="00793FF1">
              <w:rPr>
                <w:rFonts w:ascii="Arial" w:eastAsia="Times New Roman" w:hAnsi="Arial" w:cs="Arial"/>
                <w:b/>
                <w:bCs/>
              </w:rPr>
              <w:t xml:space="preserve"> a)</w:t>
            </w:r>
          </w:p>
        </w:tc>
        <w:tc>
          <w:tcPr>
            <w:tcW w:w="1680"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b/>
                <w:bCs/>
              </w:rPr>
            </w:pPr>
            <w:r w:rsidRPr="00793FF1">
              <w:rPr>
                <w:rFonts w:ascii="Arial" w:eastAsia="Times New Roman" w:hAnsi="Arial" w:cs="Arial"/>
                <w:b/>
                <w:bCs/>
              </w:rPr>
              <w:t>b)</w:t>
            </w:r>
          </w:p>
        </w:tc>
        <w:tc>
          <w:tcPr>
            <w:tcW w:w="1700" w:type="dxa"/>
            <w:tcBorders>
              <w:top w:val="single" w:sz="4" w:space="0" w:color="FFFFFF"/>
              <w:left w:val="single" w:sz="4" w:space="0" w:color="FFFFFF"/>
              <w:bottom w:val="single" w:sz="4" w:space="0" w:color="FFFFFF"/>
              <w:right w:val="nil"/>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b/>
                <w:bCs/>
              </w:rPr>
            </w:pPr>
            <w:r w:rsidRPr="00793FF1">
              <w:rPr>
                <w:rFonts w:ascii="Arial" w:eastAsia="Times New Roman" w:hAnsi="Arial" w:cs="Arial"/>
                <w:b/>
                <w:bCs/>
              </w:rPr>
              <w:t xml:space="preserve"> c)</w:t>
            </w:r>
          </w:p>
        </w:tc>
      </w:tr>
      <w:tr w:rsidR="00793FF1" w:rsidRPr="00793FF1" w:rsidTr="00BD793E">
        <w:trPr>
          <w:trHeight w:val="300"/>
          <w:jc w:val="center"/>
        </w:trPr>
        <w:tc>
          <w:tcPr>
            <w:tcW w:w="2920" w:type="dxa"/>
            <w:tcBorders>
              <w:top w:val="single" w:sz="4" w:space="0" w:color="FFFFFF"/>
              <w:left w:val="nil"/>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 xml:space="preserve">Pertumbuhan PDB </w:t>
            </w:r>
          </w:p>
        </w:tc>
        <w:tc>
          <w:tcPr>
            <w:tcW w:w="1616"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-2.1</w:t>
            </w:r>
          </w:p>
        </w:tc>
        <w:tc>
          <w:tcPr>
            <w:tcW w:w="1680"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 5.4–5.7 </w:t>
            </w:r>
          </w:p>
        </w:tc>
        <w:tc>
          <w:tcPr>
            <w:tcW w:w="1700" w:type="dxa"/>
            <w:tcBorders>
              <w:top w:val="single" w:sz="4" w:space="0" w:color="FFFFFF"/>
              <w:left w:val="single" w:sz="4" w:space="0" w:color="FFFFFF"/>
              <w:bottom w:val="single" w:sz="4" w:space="0" w:color="FFFFFF"/>
              <w:right w:val="nil"/>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4.8</w:t>
            </w:r>
          </w:p>
        </w:tc>
      </w:tr>
      <w:tr w:rsidR="00793FF1" w:rsidRPr="00793FF1" w:rsidTr="00BD793E">
        <w:trPr>
          <w:trHeight w:val="570"/>
          <w:jc w:val="center"/>
        </w:trPr>
        <w:tc>
          <w:tcPr>
            <w:tcW w:w="2920" w:type="dxa"/>
            <w:tcBorders>
              <w:top w:val="single" w:sz="4" w:space="0" w:color="FFFFFF"/>
              <w:left w:val="nil"/>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Pertanian, Kehutanan, an Perikanan</w:t>
            </w:r>
          </w:p>
        </w:tc>
        <w:tc>
          <w:tcPr>
            <w:tcW w:w="1616"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1.8</w:t>
            </w:r>
          </w:p>
        </w:tc>
        <w:tc>
          <w:tcPr>
            <w:tcW w:w="1680"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3.7–3.8 </w:t>
            </w:r>
          </w:p>
        </w:tc>
        <w:tc>
          <w:tcPr>
            <w:tcW w:w="1700" w:type="dxa"/>
            <w:tcBorders>
              <w:top w:val="single" w:sz="4" w:space="0" w:color="FFFFFF"/>
              <w:left w:val="single" w:sz="4" w:space="0" w:color="FFFFFF"/>
              <w:bottom w:val="single" w:sz="4" w:space="0" w:color="FFFFFF"/>
              <w:right w:val="nil"/>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3.4</w:t>
            </w:r>
          </w:p>
        </w:tc>
      </w:tr>
      <w:tr w:rsidR="00793FF1" w:rsidRPr="00793FF1" w:rsidTr="00BD793E">
        <w:trPr>
          <w:trHeight w:val="570"/>
          <w:jc w:val="center"/>
        </w:trPr>
        <w:tc>
          <w:tcPr>
            <w:tcW w:w="2920" w:type="dxa"/>
            <w:tcBorders>
              <w:top w:val="single" w:sz="4" w:space="0" w:color="FFFFFF"/>
              <w:left w:val="nil"/>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 xml:space="preserve">Pertambangan dan Penggalian </w:t>
            </w:r>
          </w:p>
        </w:tc>
        <w:tc>
          <w:tcPr>
            <w:tcW w:w="1616"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-2.0</w:t>
            </w:r>
          </w:p>
        </w:tc>
        <w:tc>
          <w:tcPr>
            <w:tcW w:w="1680"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1.9–1.9 </w:t>
            </w:r>
          </w:p>
        </w:tc>
        <w:tc>
          <w:tcPr>
            <w:tcW w:w="1700" w:type="dxa"/>
            <w:tcBorders>
              <w:top w:val="single" w:sz="4" w:space="0" w:color="FFFFFF"/>
              <w:left w:val="single" w:sz="4" w:space="0" w:color="FFFFFF"/>
              <w:bottom w:val="single" w:sz="4" w:space="0" w:color="FFFFFF"/>
              <w:right w:val="nil"/>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1.0</w:t>
            </w:r>
          </w:p>
        </w:tc>
      </w:tr>
      <w:tr w:rsidR="00793FF1" w:rsidRPr="00793FF1" w:rsidTr="00BD793E">
        <w:trPr>
          <w:trHeight w:val="300"/>
          <w:jc w:val="center"/>
        </w:trPr>
        <w:tc>
          <w:tcPr>
            <w:tcW w:w="2920" w:type="dxa"/>
            <w:tcBorders>
              <w:top w:val="single" w:sz="4" w:space="0" w:color="FFFFFF"/>
              <w:left w:val="nil"/>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Industri Pengolahan</w:t>
            </w:r>
          </w:p>
        </w:tc>
        <w:tc>
          <w:tcPr>
            <w:tcW w:w="1616"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-2.9</w:t>
            </w:r>
          </w:p>
        </w:tc>
        <w:tc>
          <w:tcPr>
            <w:tcW w:w="1680"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5.2–5.5 </w:t>
            </w:r>
          </w:p>
        </w:tc>
        <w:tc>
          <w:tcPr>
            <w:tcW w:w="1700" w:type="dxa"/>
            <w:tcBorders>
              <w:top w:val="single" w:sz="4" w:space="0" w:color="FFFFFF"/>
              <w:left w:val="single" w:sz="4" w:space="0" w:color="FFFFFF"/>
              <w:bottom w:val="single" w:sz="4" w:space="0" w:color="FFFFFF"/>
              <w:right w:val="nil"/>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4.2</w:t>
            </w:r>
          </w:p>
        </w:tc>
      </w:tr>
      <w:tr w:rsidR="00793FF1" w:rsidRPr="00793FF1" w:rsidTr="00BD793E">
        <w:trPr>
          <w:trHeight w:val="300"/>
          <w:jc w:val="center"/>
        </w:trPr>
        <w:tc>
          <w:tcPr>
            <w:tcW w:w="2920" w:type="dxa"/>
            <w:tcBorders>
              <w:top w:val="single" w:sz="4" w:space="0" w:color="FFFFFF"/>
              <w:left w:val="nil"/>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 xml:space="preserve">Pengadaan Listrik dan Gas </w:t>
            </w:r>
          </w:p>
        </w:tc>
        <w:tc>
          <w:tcPr>
            <w:tcW w:w="1616"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-2.3</w:t>
            </w:r>
          </w:p>
        </w:tc>
        <w:tc>
          <w:tcPr>
            <w:tcW w:w="1680"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5.2–5.2 </w:t>
            </w:r>
          </w:p>
        </w:tc>
        <w:tc>
          <w:tcPr>
            <w:tcW w:w="1700" w:type="dxa"/>
            <w:tcBorders>
              <w:top w:val="single" w:sz="4" w:space="0" w:color="FFFFFF"/>
              <w:left w:val="single" w:sz="4" w:space="0" w:color="FFFFFF"/>
              <w:bottom w:val="single" w:sz="4" w:space="0" w:color="FFFFFF"/>
              <w:right w:val="nil"/>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5.0</w:t>
            </w:r>
          </w:p>
        </w:tc>
      </w:tr>
      <w:tr w:rsidR="00793FF1" w:rsidRPr="00793FF1" w:rsidTr="00BD793E">
        <w:trPr>
          <w:trHeight w:val="855"/>
          <w:jc w:val="center"/>
        </w:trPr>
        <w:tc>
          <w:tcPr>
            <w:tcW w:w="2920" w:type="dxa"/>
            <w:tcBorders>
              <w:top w:val="single" w:sz="4" w:space="0" w:color="FFFFFF"/>
              <w:left w:val="nil"/>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Pengadaan Air, Pengelolaan Sampah, Limbah dan Daur Ulang</w:t>
            </w:r>
          </w:p>
        </w:tc>
        <w:tc>
          <w:tcPr>
            <w:tcW w:w="1616"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4.9</w:t>
            </w:r>
          </w:p>
        </w:tc>
        <w:tc>
          <w:tcPr>
            <w:tcW w:w="1680"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4.3–4.4 </w:t>
            </w:r>
          </w:p>
        </w:tc>
        <w:tc>
          <w:tcPr>
            <w:tcW w:w="1700" w:type="dxa"/>
            <w:tcBorders>
              <w:top w:val="single" w:sz="4" w:space="0" w:color="FFFFFF"/>
              <w:left w:val="single" w:sz="4" w:space="0" w:color="FFFFFF"/>
              <w:bottom w:val="single" w:sz="4" w:space="0" w:color="FFFFFF"/>
              <w:right w:val="nil"/>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5.4</w:t>
            </w:r>
          </w:p>
        </w:tc>
      </w:tr>
      <w:tr w:rsidR="00793FF1" w:rsidRPr="00793FF1" w:rsidTr="00BD793E">
        <w:trPr>
          <w:trHeight w:val="300"/>
          <w:jc w:val="center"/>
        </w:trPr>
        <w:tc>
          <w:tcPr>
            <w:tcW w:w="2920" w:type="dxa"/>
            <w:tcBorders>
              <w:top w:val="single" w:sz="4" w:space="0" w:color="FFFFFF"/>
              <w:left w:val="nil"/>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 xml:space="preserve">Konstruksi </w:t>
            </w:r>
          </w:p>
        </w:tc>
        <w:tc>
          <w:tcPr>
            <w:tcW w:w="1616"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-3.3</w:t>
            </w:r>
          </w:p>
        </w:tc>
        <w:tc>
          <w:tcPr>
            <w:tcW w:w="1680"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5.8–6.1 </w:t>
            </w:r>
          </w:p>
        </w:tc>
        <w:tc>
          <w:tcPr>
            <w:tcW w:w="1700" w:type="dxa"/>
            <w:tcBorders>
              <w:top w:val="single" w:sz="4" w:space="0" w:color="FFFFFF"/>
              <w:left w:val="single" w:sz="4" w:space="0" w:color="FFFFFF"/>
              <w:bottom w:val="single" w:sz="4" w:space="0" w:color="FFFFFF"/>
              <w:right w:val="nil"/>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5.7</w:t>
            </w:r>
          </w:p>
        </w:tc>
      </w:tr>
      <w:tr w:rsidR="00793FF1" w:rsidRPr="00793FF1" w:rsidTr="00BD793E">
        <w:trPr>
          <w:trHeight w:val="855"/>
          <w:jc w:val="center"/>
        </w:trPr>
        <w:tc>
          <w:tcPr>
            <w:tcW w:w="2920" w:type="dxa"/>
            <w:tcBorders>
              <w:top w:val="single" w:sz="4" w:space="0" w:color="FFFFFF"/>
              <w:left w:val="nil"/>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Perdagangan Besar dan Eceran, Reparasi Mobil dan Sepeda Motor</w:t>
            </w:r>
          </w:p>
        </w:tc>
        <w:tc>
          <w:tcPr>
            <w:tcW w:w="1616"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-3.7</w:t>
            </w:r>
          </w:p>
        </w:tc>
        <w:tc>
          <w:tcPr>
            <w:tcW w:w="1680"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5.6–6.0 </w:t>
            </w:r>
          </w:p>
        </w:tc>
        <w:tc>
          <w:tcPr>
            <w:tcW w:w="1700" w:type="dxa"/>
            <w:tcBorders>
              <w:top w:val="single" w:sz="4" w:space="0" w:color="FFFFFF"/>
              <w:left w:val="single" w:sz="4" w:space="0" w:color="FFFFFF"/>
              <w:bottom w:val="single" w:sz="4" w:space="0" w:color="FFFFFF"/>
              <w:right w:val="nil"/>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4.4</w:t>
            </w:r>
          </w:p>
        </w:tc>
      </w:tr>
      <w:tr w:rsidR="00793FF1" w:rsidRPr="00793FF1" w:rsidTr="00BD793E">
        <w:trPr>
          <w:trHeight w:val="570"/>
          <w:jc w:val="center"/>
        </w:trPr>
        <w:tc>
          <w:tcPr>
            <w:tcW w:w="2920" w:type="dxa"/>
            <w:tcBorders>
              <w:top w:val="single" w:sz="4" w:space="0" w:color="FFFFFF"/>
              <w:left w:val="nil"/>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 xml:space="preserve">Transportasi dan Pergudangan </w:t>
            </w:r>
          </w:p>
        </w:tc>
        <w:tc>
          <w:tcPr>
            <w:tcW w:w="1616"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-15.0</w:t>
            </w:r>
          </w:p>
        </w:tc>
        <w:tc>
          <w:tcPr>
            <w:tcW w:w="1680"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7.1–7.4 </w:t>
            </w:r>
          </w:p>
        </w:tc>
        <w:tc>
          <w:tcPr>
            <w:tcW w:w="1700" w:type="dxa"/>
            <w:tcBorders>
              <w:top w:val="single" w:sz="4" w:space="0" w:color="FFFFFF"/>
              <w:left w:val="single" w:sz="4" w:space="0" w:color="FFFFFF"/>
              <w:bottom w:val="single" w:sz="4" w:space="0" w:color="FFFFFF"/>
              <w:right w:val="nil"/>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4.8</w:t>
            </w:r>
          </w:p>
        </w:tc>
      </w:tr>
      <w:tr w:rsidR="00793FF1" w:rsidRPr="00793FF1" w:rsidTr="00BD793E">
        <w:trPr>
          <w:trHeight w:val="570"/>
          <w:jc w:val="center"/>
        </w:trPr>
        <w:tc>
          <w:tcPr>
            <w:tcW w:w="2920" w:type="dxa"/>
            <w:tcBorders>
              <w:top w:val="single" w:sz="4" w:space="0" w:color="FFFFFF"/>
              <w:left w:val="nil"/>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Penyediaan Akomodasi dan Makan Minum</w:t>
            </w:r>
          </w:p>
        </w:tc>
        <w:tc>
          <w:tcPr>
            <w:tcW w:w="1616"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-10.2</w:t>
            </w:r>
          </w:p>
        </w:tc>
        <w:tc>
          <w:tcPr>
            <w:tcW w:w="1680"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6.1–6.3</w:t>
            </w:r>
          </w:p>
        </w:tc>
        <w:tc>
          <w:tcPr>
            <w:tcW w:w="1700" w:type="dxa"/>
            <w:tcBorders>
              <w:top w:val="single" w:sz="4" w:space="0" w:color="FFFFFF"/>
              <w:left w:val="single" w:sz="4" w:space="0" w:color="FFFFFF"/>
              <w:bottom w:val="single" w:sz="4" w:space="0" w:color="FFFFFF"/>
              <w:right w:val="nil"/>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5.4</w:t>
            </w:r>
          </w:p>
        </w:tc>
      </w:tr>
      <w:tr w:rsidR="00793FF1" w:rsidRPr="00793FF1" w:rsidTr="00BD793E">
        <w:trPr>
          <w:trHeight w:val="300"/>
          <w:jc w:val="center"/>
        </w:trPr>
        <w:tc>
          <w:tcPr>
            <w:tcW w:w="2920" w:type="dxa"/>
            <w:tcBorders>
              <w:top w:val="single" w:sz="4" w:space="0" w:color="FFFFFF"/>
              <w:left w:val="nil"/>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 xml:space="preserve">Informasi dan Komunikasi </w:t>
            </w:r>
          </w:p>
        </w:tc>
        <w:tc>
          <w:tcPr>
            <w:tcW w:w="1616"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10.6</w:t>
            </w:r>
          </w:p>
        </w:tc>
        <w:tc>
          <w:tcPr>
            <w:tcW w:w="1680"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7.7–8.8 </w:t>
            </w:r>
          </w:p>
        </w:tc>
        <w:tc>
          <w:tcPr>
            <w:tcW w:w="1700" w:type="dxa"/>
            <w:tcBorders>
              <w:top w:val="single" w:sz="4" w:space="0" w:color="FFFFFF"/>
              <w:left w:val="single" w:sz="4" w:space="0" w:color="FFFFFF"/>
              <w:bottom w:val="single" w:sz="4" w:space="0" w:color="FFFFFF"/>
              <w:right w:val="nil"/>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9.1</w:t>
            </w:r>
          </w:p>
        </w:tc>
      </w:tr>
      <w:tr w:rsidR="00793FF1" w:rsidRPr="00793FF1" w:rsidTr="00BD793E">
        <w:trPr>
          <w:trHeight w:val="570"/>
          <w:jc w:val="center"/>
        </w:trPr>
        <w:tc>
          <w:tcPr>
            <w:tcW w:w="2920" w:type="dxa"/>
            <w:tcBorders>
              <w:top w:val="single" w:sz="4" w:space="0" w:color="FFFFFF"/>
              <w:left w:val="nil"/>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 xml:space="preserve">Jasa Keuangan dan Asuransi </w:t>
            </w:r>
          </w:p>
        </w:tc>
        <w:tc>
          <w:tcPr>
            <w:tcW w:w="1616"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3.2</w:t>
            </w:r>
          </w:p>
        </w:tc>
        <w:tc>
          <w:tcPr>
            <w:tcW w:w="1680"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 6.4–6.9 </w:t>
            </w:r>
          </w:p>
        </w:tc>
        <w:tc>
          <w:tcPr>
            <w:tcW w:w="1700" w:type="dxa"/>
            <w:tcBorders>
              <w:top w:val="single" w:sz="4" w:space="0" w:color="FFFFFF"/>
              <w:left w:val="single" w:sz="4" w:space="0" w:color="FFFFFF"/>
              <w:bottom w:val="single" w:sz="4" w:space="0" w:color="FFFFFF"/>
              <w:right w:val="nil"/>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4.6</w:t>
            </w:r>
          </w:p>
        </w:tc>
      </w:tr>
      <w:tr w:rsidR="00793FF1" w:rsidRPr="00793FF1" w:rsidTr="00BD793E">
        <w:trPr>
          <w:trHeight w:val="300"/>
          <w:jc w:val="center"/>
        </w:trPr>
        <w:tc>
          <w:tcPr>
            <w:tcW w:w="2920" w:type="dxa"/>
            <w:tcBorders>
              <w:top w:val="single" w:sz="4" w:space="0" w:color="FFFFFF"/>
              <w:left w:val="nil"/>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Real Estate</w:t>
            </w:r>
          </w:p>
        </w:tc>
        <w:tc>
          <w:tcPr>
            <w:tcW w:w="1616"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2.3</w:t>
            </w:r>
          </w:p>
        </w:tc>
        <w:tc>
          <w:tcPr>
            <w:tcW w:w="1680"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5.0–5.0 </w:t>
            </w:r>
          </w:p>
        </w:tc>
        <w:tc>
          <w:tcPr>
            <w:tcW w:w="1700" w:type="dxa"/>
            <w:tcBorders>
              <w:top w:val="single" w:sz="4" w:space="0" w:color="FFFFFF"/>
              <w:left w:val="single" w:sz="4" w:space="0" w:color="FFFFFF"/>
              <w:bottom w:val="single" w:sz="4" w:space="0" w:color="FFFFFF"/>
              <w:right w:val="nil"/>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4.1</w:t>
            </w:r>
          </w:p>
        </w:tc>
      </w:tr>
      <w:tr w:rsidR="00793FF1" w:rsidRPr="00793FF1" w:rsidTr="00BD793E">
        <w:trPr>
          <w:trHeight w:val="300"/>
          <w:jc w:val="center"/>
        </w:trPr>
        <w:tc>
          <w:tcPr>
            <w:tcW w:w="2920" w:type="dxa"/>
            <w:tcBorders>
              <w:top w:val="single" w:sz="4" w:space="0" w:color="FFFFFF"/>
              <w:left w:val="nil"/>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Jasa Perusahaan</w:t>
            </w:r>
          </w:p>
        </w:tc>
        <w:tc>
          <w:tcPr>
            <w:tcW w:w="1616"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-5.4</w:t>
            </w:r>
          </w:p>
        </w:tc>
        <w:tc>
          <w:tcPr>
            <w:tcW w:w="1680"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8.4–8.4 </w:t>
            </w:r>
          </w:p>
        </w:tc>
        <w:tc>
          <w:tcPr>
            <w:tcW w:w="1700" w:type="dxa"/>
            <w:tcBorders>
              <w:top w:val="single" w:sz="4" w:space="0" w:color="FFFFFF"/>
              <w:left w:val="single" w:sz="4" w:space="0" w:color="FFFFFF"/>
              <w:bottom w:val="single" w:sz="4" w:space="0" w:color="FFFFFF"/>
              <w:right w:val="nil"/>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4.8</w:t>
            </w:r>
          </w:p>
        </w:tc>
      </w:tr>
      <w:tr w:rsidR="00793FF1" w:rsidRPr="00793FF1" w:rsidTr="00BD793E">
        <w:trPr>
          <w:trHeight w:val="855"/>
          <w:jc w:val="center"/>
        </w:trPr>
        <w:tc>
          <w:tcPr>
            <w:tcW w:w="2920" w:type="dxa"/>
            <w:tcBorders>
              <w:top w:val="single" w:sz="4" w:space="0" w:color="FFFFFF"/>
              <w:left w:val="nil"/>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Administrasi Pemerintahan, Pertahanan, dan Jaminan Sosial Wajib</w:t>
            </w:r>
          </w:p>
        </w:tc>
        <w:tc>
          <w:tcPr>
            <w:tcW w:w="1616"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0.0</w:t>
            </w:r>
          </w:p>
        </w:tc>
        <w:tc>
          <w:tcPr>
            <w:tcW w:w="1680"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4.8–5.1 </w:t>
            </w:r>
          </w:p>
        </w:tc>
        <w:tc>
          <w:tcPr>
            <w:tcW w:w="1700" w:type="dxa"/>
            <w:tcBorders>
              <w:top w:val="single" w:sz="4" w:space="0" w:color="FFFFFF"/>
              <w:left w:val="single" w:sz="4" w:space="0" w:color="FFFFFF"/>
              <w:bottom w:val="single" w:sz="4" w:space="0" w:color="FFFFFF"/>
              <w:right w:val="nil"/>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2.9</w:t>
            </w:r>
          </w:p>
        </w:tc>
      </w:tr>
      <w:tr w:rsidR="00793FF1" w:rsidRPr="00793FF1" w:rsidTr="00BD793E">
        <w:trPr>
          <w:trHeight w:val="300"/>
          <w:jc w:val="center"/>
        </w:trPr>
        <w:tc>
          <w:tcPr>
            <w:tcW w:w="2920" w:type="dxa"/>
            <w:tcBorders>
              <w:top w:val="single" w:sz="4" w:space="0" w:color="FFFFFF"/>
              <w:left w:val="nil"/>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 xml:space="preserve">Jasa Pendidikan </w:t>
            </w:r>
          </w:p>
        </w:tc>
        <w:tc>
          <w:tcPr>
            <w:tcW w:w="1616"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2.6</w:t>
            </w:r>
          </w:p>
        </w:tc>
        <w:tc>
          <w:tcPr>
            <w:tcW w:w="1680"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5.2–5.2 </w:t>
            </w:r>
          </w:p>
        </w:tc>
        <w:tc>
          <w:tcPr>
            <w:tcW w:w="1700" w:type="dxa"/>
            <w:tcBorders>
              <w:top w:val="single" w:sz="4" w:space="0" w:color="FFFFFF"/>
              <w:left w:val="single" w:sz="4" w:space="0" w:color="FFFFFF"/>
              <w:bottom w:val="single" w:sz="4" w:space="0" w:color="FFFFFF"/>
              <w:right w:val="nil"/>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3.9</w:t>
            </w:r>
          </w:p>
        </w:tc>
      </w:tr>
      <w:tr w:rsidR="00793FF1" w:rsidRPr="00793FF1" w:rsidTr="00BD793E">
        <w:trPr>
          <w:trHeight w:val="570"/>
          <w:jc w:val="center"/>
        </w:trPr>
        <w:tc>
          <w:tcPr>
            <w:tcW w:w="2920" w:type="dxa"/>
            <w:tcBorders>
              <w:top w:val="single" w:sz="4" w:space="0" w:color="FFFFFF"/>
              <w:left w:val="nil"/>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 xml:space="preserve">Jasa Kesehatan dan Kegiatan Sosial </w:t>
            </w:r>
          </w:p>
        </w:tc>
        <w:tc>
          <w:tcPr>
            <w:tcW w:w="1616"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11.6</w:t>
            </w:r>
          </w:p>
        </w:tc>
        <w:tc>
          <w:tcPr>
            <w:tcW w:w="1680"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 xml:space="preserve">7.6–8.0 </w:t>
            </w:r>
          </w:p>
        </w:tc>
        <w:tc>
          <w:tcPr>
            <w:tcW w:w="1700" w:type="dxa"/>
            <w:tcBorders>
              <w:top w:val="single" w:sz="4" w:space="0" w:color="FFFFFF"/>
              <w:left w:val="single" w:sz="4" w:space="0" w:color="FFFFFF"/>
              <w:bottom w:val="single" w:sz="4" w:space="0" w:color="FFFFFF"/>
              <w:right w:val="nil"/>
            </w:tcBorders>
            <w:shd w:val="clear" w:color="E2EFDA" w:fill="E2EFDA"/>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4.9</w:t>
            </w:r>
          </w:p>
        </w:tc>
      </w:tr>
      <w:tr w:rsidR="00793FF1" w:rsidRPr="00793FF1" w:rsidTr="00BD793E">
        <w:trPr>
          <w:trHeight w:val="300"/>
          <w:jc w:val="center"/>
        </w:trPr>
        <w:tc>
          <w:tcPr>
            <w:tcW w:w="2920" w:type="dxa"/>
            <w:tcBorders>
              <w:top w:val="single" w:sz="4" w:space="0" w:color="FFFFFF"/>
              <w:left w:val="nil"/>
              <w:bottom w:val="nil"/>
              <w:right w:val="single" w:sz="4" w:space="0" w:color="FFFFFF"/>
            </w:tcBorders>
            <w:shd w:val="clear" w:color="C6E0B4" w:fill="C6E0B4"/>
            <w:vAlign w:val="center"/>
            <w:hideMark/>
          </w:tcPr>
          <w:p w:rsidR="006536A5" w:rsidRPr="00793FF1" w:rsidRDefault="006536A5" w:rsidP="00BD793E">
            <w:pPr>
              <w:spacing w:after="0" w:line="240" w:lineRule="auto"/>
              <w:rPr>
                <w:rFonts w:ascii="Arial" w:eastAsia="Times New Roman" w:hAnsi="Arial" w:cs="Arial"/>
              </w:rPr>
            </w:pPr>
            <w:r w:rsidRPr="00793FF1">
              <w:rPr>
                <w:rFonts w:ascii="Arial" w:eastAsia="Times New Roman" w:hAnsi="Arial" w:cs="Arial"/>
              </w:rPr>
              <w:t xml:space="preserve">Jasa Lainnya </w:t>
            </w:r>
          </w:p>
        </w:tc>
        <w:tc>
          <w:tcPr>
            <w:tcW w:w="1616" w:type="dxa"/>
            <w:tcBorders>
              <w:top w:val="single" w:sz="4" w:space="0" w:color="FFFFFF"/>
              <w:left w:val="single" w:sz="4" w:space="0" w:color="FFFFFF"/>
              <w:bottom w:val="nil"/>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-4.1</w:t>
            </w:r>
          </w:p>
        </w:tc>
        <w:tc>
          <w:tcPr>
            <w:tcW w:w="1680" w:type="dxa"/>
            <w:tcBorders>
              <w:top w:val="single" w:sz="4" w:space="0" w:color="FFFFFF"/>
              <w:left w:val="single" w:sz="4" w:space="0" w:color="FFFFFF"/>
              <w:bottom w:val="nil"/>
              <w:right w:val="single" w:sz="4" w:space="0" w:color="FFFFFF"/>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9.3–9.5</w:t>
            </w:r>
          </w:p>
        </w:tc>
        <w:tc>
          <w:tcPr>
            <w:tcW w:w="1700" w:type="dxa"/>
            <w:tcBorders>
              <w:top w:val="single" w:sz="4" w:space="0" w:color="FFFFFF"/>
              <w:left w:val="single" w:sz="4" w:space="0" w:color="FFFFFF"/>
              <w:bottom w:val="nil"/>
              <w:right w:val="nil"/>
            </w:tcBorders>
            <w:shd w:val="clear" w:color="C6E0B4" w:fill="C6E0B4"/>
            <w:vAlign w:val="center"/>
            <w:hideMark/>
          </w:tcPr>
          <w:p w:rsidR="006536A5" w:rsidRPr="00793FF1" w:rsidRDefault="006536A5" w:rsidP="00BD793E">
            <w:pPr>
              <w:spacing w:after="0" w:line="240" w:lineRule="auto"/>
              <w:jc w:val="center"/>
              <w:rPr>
                <w:rFonts w:ascii="Arial" w:eastAsia="Times New Roman" w:hAnsi="Arial" w:cs="Arial"/>
              </w:rPr>
            </w:pPr>
            <w:r w:rsidRPr="00793FF1">
              <w:rPr>
                <w:rFonts w:ascii="Arial" w:eastAsia="Times New Roman" w:hAnsi="Arial" w:cs="Arial"/>
              </w:rPr>
              <w:t>4.6</w:t>
            </w:r>
          </w:p>
        </w:tc>
      </w:tr>
    </w:tbl>
    <w:p w:rsidR="006536A5" w:rsidRPr="00793FF1" w:rsidRDefault="006536A5" w:rsidP="006536A5">
      <w:pPr>
        <w:tabs>
          <w:tab w:val="left" w:pos="851"/>
        </w:tabs>
        <w:spacing w:before="120" w:after="120" w:line="360" w:lineRule="auto"/>
        <w:jc w:val="both"/>
        <w:rPr>
          <w:rFonts w:ascii="Arial" w:hAnsi="Arial" w:cs="Arial"/>
          <w:sz w:val="16"/>
          <w:szCs w:val="16"/>
        </w:rPr>
      </w:pPr>
      <w:r w:rsidRPr="00793FF1">
        <w:rPr>
          <w:rFonts w:ascii="Arial" w:hAnsi="Arial" w:cs="Arial"/>
          <w:i/>
          <w:sz w:val="18"/>
          <w:szCs w:val="18"/>
        </w:rPr>
        <w:t xml:space="preserve">    </w:t>
      </w:r>
      <w:r w:rsidRPr="00793FF1">
        <w:rPr>
          <w:rFonts w:ascii="Arial" w:hAnsi="Arial" w:cs="Arial"/>
          <w:i/>
          <w:sz w:val="16"/>
          <w:szCs w:val="16"/>
        </w:rPr>
        <w:t>Sumber: a) BPS, 2020; b) RPJMN 2020 - 2024; c) Perkiraan Kementerian PPN/Bappenas, Mei 2021.</w:t>
      </w:r>
    </w:p>
    <w:p w:rsidR="006536A5" w:rsidRPr="00793FF1" w:rsidRDefault="006536A5" w:rsidP="006536A5">
      <w:pPr>
        <w:tabs>
          <w:tab w:val="left" w:pos="851"/>
        </w:tabs>
        <w:spacing w:after="0" w:line="360" w:lineRule="auto"/>
        <w:ind w:firstLine="851"/>
        <w:jc w:val="both"/>
        <w:rPr>
          <w:rFonts w:ascii="Arial" w:hAnsi="Arial" w:cs="Arial"/>
          <w:sz w:val="24"/>
          <w:szCs w:val="24"/>
        </w:rPr>
      </w:pPr>
      <w:r w:rsidRPr="00793FF1">
        <w:rPr>
          <w:rFonts w:ascii="Arial" w:hAnsi="Arial" w:cs="Arial"/>
          <w:sz w:val="24"/>
          <w:szCs w:val="24"/>
        </w:rPr>
        <w:t xml:space="preserve">Pada tahun 2021, kecepatan pemulihan antar sektor </w:t>
      </w:r>
      <w:proofErr w:type="gramStart"/>
      <w:r w:rsidRPr="00793FF1">
        <w:rPr>
          <w:rFonts w:ascii="Arial" w:hAnsi="Arial" w:cs="Arial"/>
          <w:sz w:val="24"/>
          <w:szCs w:val="24"/>
        </w:rPr>
        <w:t>akan</w:t>
      </w:r>
      <w:proofErr w:type="gramEnd"/>
      <w:r w:rsidRPr="00793FF1">
        <w:rPr>
          <w:rFonts w:ascii="Arial" w:hAnsi="Arial" w:cs="Arial"/>
          <w:sz w:val="24"/>
          <w:szCs w:val="24"/>
        </w:rPr>
        <w:t xml:space="preserve"> berbeda. Sektor industri pengolahan diperkirakan mampu tumbuh mencapai 4</w:t>
      </w:r>
      <w:proofErr w:type="gramStart"/>
      <w:r w:rsidRPr="00793FF1">
        <w:rPr>
          <w:rFonts w:ascii="Arial" w:hAnsi="Arial" w:cs="Arial"/>
          <w:sz w:val="24"/>
          <w:szCs w:val="24"/>
        </w:rPr>
        <w:t>,2</w:t>
      </w:r>
      <w:proofErr w:type="gramEnd"/>
      <w:r w:rsidRPr="00793FF1">
        <w:rPr>
          <w:rFonts w:ascii="Arial" w:hAnsi="Arial" w:cs="Arial"/>
          <w:sz w:val="24"/>
          <w:szCs w:val="24"/>
        </w:rPr>
        <w:t xml:space="preserve"> persen. Optimisme ditunjukkan oleh indikator PMI </w:t>
      </w:r>
      <w:r w:rsidRPr="00793FF1">
        <w:rPr>
          <w:rFonts w:ascii="Arial" w:hAnsi="Arial" w:cs="Arial"/>
          <w:i/>
          <w:sz w:val="24"/>
          <w:szCs w:val="24"/>
        </w:rPr>
        <w:t>Manufacturing</w:t>
      </w:r>
      <w:r w:rsidRPr="00793FF1">
        <w:rPr>
          <w:rFonts w:ascii="Arial" w:hAnsi="Arial" w:cs="Arial"/>
          <w:sz w:val="24"/>
          <w:szCs w:val="24"/>
        </w:rPr>
        <w:t xml:space="preserve"> yang mulai menunjukkan ekspansi sejak November 2020 dan terus berlanjut hingga April 2021. Hal ini mengindikasikan bahwa kinerja industri pengolahan menunjukkan perbaikan. Kinerja positif tersebut diharapkan terus bertahan hingga akhir tahun 2021. </w:t>
      </w:r>
    </w:p>
    <w:p w:rsidR="006536A5" w:rsidRPr="00793FF1" w:rsidRDefault="006536A5" w:rsidP="006536A5">
      <w:pPr>
        <w:tabs>
          <w:tab w:val="left" w:pos="851"/>
        </w:tabs>
        <w:spacing w:after="0" w:line="360" w:lineRule="auto"/>
        <w:ind w:firstLine="851"/>
        <w:jc w:val="both"/>
        <w:rPr>
          <w:rFonts w:ascii="Arial" w:hAnsi="Arial" w:cs="Arial"/>
          <w:sz w:val="24"/>
          <w:szCs w:val="24"/>
        </w:rPr>
      </w:pPr>
      <w:r w:rsidRPr="00793FF1">
        <w:rPr>
          <w:rFonts w:ascii="Arial" w:hAnsi="Arial" w:cs="Arial"/>
          <w:sz w:val="24"/>
          <w:szCs w:val="24"/>
        </w:rPr>
        <w:lastRenderedPageBreak/>
        <w:t xml:space="preserve">Sektor pertambangan dan penggalian diperkirakan tumbuh sebesar 1,0 persen, yang salah satunya didorong oleh peningkatan harga komoditas global dan program hilirisasi pertambangan melalui pembangunan smelter serta implementasi UU Nomor 3 Tahun 2020 tentang Perubahan atas UU Nomor 4 Tahun 2009 tentang Pertambangan Mineral dan Batubara, yang mengamanatkan agar tidak lagi melakukan ekspor bahan mentah. </w:t>
      </w:r>
    </w:p>
    <w:p w:rsidR="006536A5" w:rsidRPr="00793FF1" w:rsidRDefault="006536A5" w:rsidP="006536A5">
      <w:pPr>
        <w:tabs>
          <w:tab w:val="left" w:pos="851"/>
        </w:tabs>
        <w:spacing w:after="0" w:line="360" w:lineRule="auto"/>
        <w:ind w:firstLine="851"/>
        <w:jc w:val="both"/>
        <w:rPr>
          <w:rFonts w:ascii="Arial" w:hAnsi="Arial" w:cs="Arial"/>
          <w:sz w:val="24"/>
          <w:szCs w:val="24"/>
        </w:rPr>
      </w:pPr>
      <w:r w:rsidRPr="00793FF1">
        <w:rPr>
          <w:rFonts w:ascii="Arial" w:hAnsi="Arial" w:cs="Arial"/>
          <w:sz w:val="24"/>
          <w:szCs w:val="24"/>
        </w:rPr>
        <w:t>Pembangunan berbagai proyek infrastruktur yang sempat mengalami penundaan akibat pandemi COVID-19, mulai dilanjutkan kembali pada tahun 2021. Keberlanjutan pembangunan infrastruktur ini menunjukkan perbaikan kinerja sektor konstruksi yang diharapkan mampu tumbuh mencapai 5</w:t>
      </w:r>
      <w:proofErr w:type="gramStart"/>
      <w:r w:rsidRPr="00793FF1">
        <w:rPr>
          <w:rFonts w:ascii="Arial" w:hAnsi="Arial" w:cs="Arial"/>
          <w:sz w:val="24"/>
          <w:szCs w:val="24"/>
        </w:rPr>
        <w:t>,7</w:t>
      </w:r>
      <w:proofErr w:type="gramEnd"/>
      <w:r w:rsidRPr="00793FF1">
        <w:rPr>
          <w:rFonts w:ascii="Arial" w:hAnsi="Arial" w:cs="Arial"/>
          <w:sz w:val="24"/>
          <w:szCs w:val="24"/>
        </w:rPr>
        <w:t xml:space="preserve"> persen. </w:t>
      </w:r>
    </w:p>
    <w:p w:rsidR="006536A5" w:rsidRPr="00793FF1" w:rsidRDefault="006536A5" w:rsidP="006536A5">
      <w:pPr>
        <w:tabs>
          <w:tab w:val="left" w:pos="851"/>
        </w:tabs>
        <w:spacing w:after="0" w:line="360" w:lineRule="auto"/>
        <w:ind w:firstLine="851"/>
        <w:jc w:val="both"/>
        <w:rPr>
          <w:rFonts w:ascii="Arial" w:hAnsi="Arial" w:cs="Arial"/>
          <w:sz w:val="24"/>
          <w:szCs w:val="24"/>
        </w:rPr>
      </w:pPr>
      <w:r w:rsidRPr="00793FF1">
        <w:rPr>
          <w:rFonts w:ascii="Arial" w:hAnsi="Arial" w:cs="Arial"/>
          <w:sz w:val="24"/>
          <w:szCs w:val="24"/>
        </w:rPr>
        <w:t xml:space="preserve">Sektor transportasi dan pergudangan; sektor penyediaan akomodasi makan dan minum; dan sektor perdagangan yang terkena dampak pandemi COVID-19 diperkirakan berangsur-angsur pulih pada semester II 2021 seiring dengan meluasnya vaksinasi. </w:t>
      </w:r>
    </w:p>
    <w:p w:rsidR="006536A5" w:rsidRPr="00793FF1" w:rsidRDefault="006536A5" w:rsidP="006536A5">
      <w:pPr>
        <w:tabs>
          <w:tab w:val="left" w:pos="851"/>
        </w:tabs>
        <w:spacing w:after="120" w:line="360" w:lineRule="auto"/>
        <w:ind w:firstLine="851"/>
        <w:jc w:val="both"/>
      </w:pPr>
      <w:r w:rsidRPr="00793FF1">
        <w:rPr>
          <w:rFonts w:ascii="Arial" w:hAnsi="Arial" w:cs="Arial"/>
          <w:sz w:val="24"/>
          <w:szCs w:val="24"/>
        </w:rPr>
        <w:t xml:space="preserve">Sektor yang tercatat mampu tumbuh tinggi di tengah kondisi pandemi COVID-19, yakni sektor jasa kesehatan dan kegiatan sosial, serta sektor informasi dan komunikasi, diperkirakan masih akan tumbuh tinggi pada tahun 2021 dengan pertumbuhan masing-masing sebesar 4,9 dan 9,1 persen. Permintaan masyarakat terhadap sektor jasa kesehatan seperti obat-obatan, alat kesehatan dan vaksinasi diperkirakan masih </w:t>
      </w:r>
      <w:proofErr w:type="gramStart"/>
      <w:r w:rsidRPr="00793FF1">
        <w:rPr>
          <w:rFonts w:ascii="Arial" w:hAnsi="Arial" w:cs="Arial"/>
          <w:sz w:val="24"/>
          <w:szCs w:val="24"/>
        </w:rPr>
        <w:t>akan</w:t>
      </w:r>
      <w:proofErr w:type="gramEnd"/>
      <w:r w:rsidRPr="00793FF1">
        <w:rPr>
          <w:rFonts w:ascii="Arial" w:hAnsi="Arial" w:cs="Arial"/>
          <w:sz w:val="24"/>
          <w:szCs w:val="24"/>
        </w:rPr>
        <w:t xml:space="preserve"> tinggi. Sementara, tren perubahan pola kerja dan belajar ke arah digitalisasi terus berlanjut dan masih </w:t>
      </w:r>
      <w:proofErr w:type="gramStart"/>
      <w:r w:rsidRPr="00793FF1">
        <w:rPr>
          <w:rFonts w:ascii="Arial" w:hAnsi="Arial" w:cs="Arial"/>
          <w:sz w:val="24"/>
          <w:szCs w:val="24"/>
        </w:rPr>
        <w:t>akan</w:t>
      </w:r>
      <w:proofErr w:type="gramEnd"/>
      <w:r w:rsidRPr="00793FF1">
        <w:rPr>
          <w:rFonts w:ascii="Arial" w:hAnsi="Arial" w:cs="Arial"/>
          <w:sz w:val="24"/>
          <w:szCs w:val="24"/>
        </w:rPr>
        <w:t xml:space="preserve"> membutuhkan dukungan sektor informasi dan komunikasi.</w:t>
      </w:r>
      <w:r w:rsidRPr="00793FF1">
        <w:t xml:space="preserve"> </w:t>
      </w:r>
    </w:p>
    <w:p w:rsidR="006536A5" w:rsidRPr="00793FF1" w:rsidRDefault="006536A5" w:rsidP="00611D25">
      <w:pPr>
        <w:pStyle w:val="ListParagraph"/>
        <w:numPr>
          <w:ilvl w:val="0"/>
          <w:numId w:val="60"/>
        </w:numPr>
        <w:tabs>
          <w:tab w:val="left" w:pos="851"/>
        </w:tabs>
        <w:spacing w:after="0" w:line="360" w:lineRule="auto"/>
        <w:ind w:left="284" w:hanging="284"/>
        <w:jc w:val="both"/>
        <w:rPr>
          <w:rFonts w:ascii="Arial" w:hAnsi="Arial" w:cs="Arial"/>
          <w:b/>
          <w:sz w:val="24"/>
          <w:szCs w:val="24"/>
        </w:rPr>
      </w:pPr>
      <w:r w:rsidRPr="00793FF1">
        <w:rPr>
          <w:rFonts w:ascii="Arial" w:hAnsi="Arial" w:cs="Arial"/>
          <w:b/>
          <w:sz w:val="24"/>
          <w:szCs w:val="24"/>
        </w:rPr>
        <w:t>Pertumbuhan Ekonomi Sulawesi Selatan</w:t>
      </w:r>
    </w:p>
    <w:p w:rsidR="006536A5" w:rsidRPr="00793FF1" w:rsidRDefault="006536A5" w:rsidP="006536A5">
      <w:pPr>
        <w:tabs>
          <w:tab w:val="left" w:pos="851"/>
        </w:tabs>
        <w:spacing w:after="0" w:line="360" w:lineRule="auto"/>
        <w:jc w:val="both"/>
        <w:rPr>
          <w:rFonts w:ascii="Arial" w:hAnsi="Arial" w:cs="Arial"/>
          <w:sz w:val="24"/>
          <w:szCs w:val="24"/>
        </w:rPr>
      </w:pPr>
      <w:r w:rsidRPr="00793FF1">
        <w:rPr>
          <w:rFonts w:ascii="Arial" w:hAnsi="Arial" w:cs="Arial"/>
          <w:sz w:val="24"/>
          <w:szCs w:val="24"/>
        </w:rPr>
        <w:tab/>
        <w:t>Situasi pandemi Covid 19 sepanjang tahun 2020, masih berlanjut hingga awal tahun 2021 dan menyebabkan ketidakpastian yang tinggi. Kondisi tersebut berdampak negatif pada realisasi pertumbuhan ekonomi pada kuartal I-2021 sehingga mengalami kontraksi hingga –0</w:t>
      </w:r>
      <w:proofErr w:type="gramStart"/>
      <w:r w:rsidRPr="00793FF1">
        <w:rPr>
          <w:rFonts w:ascii="Arial" w:hAnsi="Arial" w:cs="Arial"/>
          <w:sz w:val="24"/>
          <w:szCs w:val="24"/>
        </w:rPr>
        <w:t>,21</w:t>
      </w:r>
      <w:proofErr w:type="gramEnd"/>
      <w:r w:rsidRPr="00793FF1">
        <w:rPr>
          <w:rFonts w:ascii="Arial" w:hAnsi="Arial" w:cs="Arial"/>
          <w:sz w:val="24"/>
          <w:szCs w:val="24"/>
        </w:rPr>
        <w:t xml:space="preserve"> persen. Terjadinya perlambatan pada hampir semua komponen Produk Domestik Bruto sepanjang 2020 telah memberikan tekanan lebih berat pada Sulawesi Selatan, sehingga berpengaruh signifikan terhadap prospek pertumbuhan ekonomi tahun 2021 yang pada awalnya ditargetkan sebesar 6,1 persen, sehingga direvisi menjadi sebesar 4,10-5,55 persen.</w:t>
      </w:r>
    </w:p>
    <w:p w:rsidR="006536A5" w:rsidRPr="00793FF1" w:rsidRDefault="006536A5" w:rsidP="006536A5">
      <w:pPr>
        <w:tabs>
          <w:tab w:val="left" w:pos="851"/>
        </w:tabs>
        <w:spacing w:after="0" w:line="360" w:lineRule="auto"/>
        <w:ind w:firstLine="851"/>
        <w:jc w:val="both"/>
        <w:rPr>
          <w:rFonts w:ascii="Arial" w:hAnsi="Arial" w:cs="Arial"/>
          <w:sz w:val="24"/>
          <w:szCs w:val="24"/>
        </w:rPr>
      </w:pPr>
      <w:r w:rsidRPr="00793FF1">
        <w:rPr>
          <w:rFonts w:ascii="Arial" w:hAnsi="Arial" w:cs="Arial"/>
          <w:sz w:val="24"/>
          <w:szCs w:val="24"/>
        </w:rPr>
        <w:t xml:space="preserve">Sejalan dengan hal tersebut, maka pembangunan ekonomi Provinsi Sulawesi Selatan yang akan dilaksanakan untuk mendukung kebijakan </w:t>
      </w:r>
      <w:r w:rsidRPr="00793FF1">
        <w:rPr>
          <w:rFonts w:ascii="Arial" w:hAnsi="Arial" w:cs="Arial"/>
          <w:sz w:val="24"/>
          <w:szCs w:val="24"/>
        </w:rPr>
        <w:lastRenderedPageBreak/>
        <w:t xml:space="preserve">pembangunan daerah tahun 2021, diarahkan untuk </w:t>
      </w:r>
      <w:r w:rsidRPr="00793FF1">
        <w:rPr>
          <w:rFonts w:ascii="Arial" w:hAnsi="Arial" w:cs="Arial"/>
          <w:b/>
          <w:sz w:val="24"/>
          <w:szCs w:val="24"/>
        </w:rPr>
        <w:t>“Mempercepat Pemulihan Ekonomi dan Sosial didukung Pembangunan Infrastruktur dan Kualitas SDM”</w:t>
      </w:r>
      <w:r w:rsidRPr="00793FF1">
        <w:rPr>
          <w:rFonts w:ascii="Arial" w:hAnsi="Arial" w:cs="Arial"/>
          <w:sz w:val="24"/>
          <w:szCs w:val="24"/>
        </w:rPr>
        <w:t>, dengan prioritas meliputi Peningkatan Kualitas Sumber Daya Manusia yang Berdaya Saing; Pengembangan Wilayah untuk Mengurangi Kesenjangan dan Menjamin Pemerataan; Peningkatan Kualitas Infrastruktur Wilayah untuk Akselerasi Pertumbuhan; Percepatan Pemulihan Ekonomi dan Reformasi Perlindungan Sosial; Pengelolaan Sumberdaya Alam Berbasis Kelestarian Lingkungan Hidup, dan Meningkatkan Ketahananbencanaan dan Perubahan Iklim; serta Peningkatan Kualitas Reformasi Birokrasi dan Tata Kelola serta Pelayanan Publik.</w:t>
      </w:r>
    </w:p>
    <w:p w:rsidR="006536A5" w:rsidRPr="00793FF1" w:rsidRDefault="006536A5" w:rsidP="006536A5">
      <w:pPr>
        <w:tabs>
          <w:tab w:val="left" w:pos="851"/>
        </w:tabs>
        <w:spacing w:after="0" w:line="360" w:lineRule="auto"/>
        <w:ind w:firstLine="851"/>
        <w:jc w:val="both"/>
      </w:pPr>
      <w:r w:rsidRPr="00793FF1">
        <w:rPr>
          <w:rFonts w:ascii="Arial" w:hAnsi="Arial" w:cs="Arial"/>
          <w:sz w:val="24"/>
          <w:szCs w:val="24"/>
        </w:rPr>
        <w:t>Sulawesi Selatan terhadap perekonomian nasional diharapkan mampu melakukan terobosan di beberapa sektor potensial agar dapat menciptakan pertumbuhan ekonomi yang lebih baik. Sulawesi Selatan sebagai pintu gerbang wilayah timur Indonesia berpotensi besar sebagai penggerak ekonomi Indonesia. Sektor pertanian, perikanan, dan pariwisata serta industri pengolahan diharapkan mampu menjadi motor di dalam pertumbuhan ekonomi, melalui pengembangan di sektor pertanian sebagai lumbung pangan padi dan jagung serta kakao, pengembangan kawasan metropolitan serta pengembangan akses dan infrastruktur transportasi serta peningkatan industri pengolahan dan industri jasa dengan memperhatikan daya dukung dan daya tampung lingkungan hidup.</w:t>
      </w:r>
      <w:r w:rsidRPr="00793FF1">
        <w:t xml:space="preserve"> </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Grafik 3.1</w:t>
      </w:r>
    </w:p>
    <w:p w:rsidR="006536A5" w:rsidRPr="00793FF1" w:rsidRDefault="006536A5" w:rsidP="006536A5">
      <w:pPr>
        <w:tabs>
          <w:tab w:val="left" w:pos="851"/>
        </w:tabs>
        <w:spacing w:after="120" w:line="240" w:lineRule="auto"/>
        <w:jc w:val="center"/>
        <w:rPr>
          <w:rFonts w:ascii="Arial" w:hAnsi="Arial" w:cs="Arial"/>
          <w:b/>
        </w:rPr>
      </w:pPr>
      <w:r w:rsidRPr="00793FF1">
        <w:rPr>
          <w:rFonts w:ascii="Arial" w:hAnsi="Arial" w:cs="Arial"/>
          <w:b/>
        </w:rPr>
        <w:t>Pertumbuhan Ekonomi Sulawesi Selatan (Persen)</w:t>
      </w:r>
    </w:p>
    <w:p w:rsidR="006536A5" w:rsidRPr="00793FF1" w:rsidRDefault="006536A5" w:rsidP="006536A5">
      <w:pPr>
        <w:tabs>
          <w:tab w:val="left" w:pos="851"/>
        </w:tabs>
        <w:spacing w:after="0" w:line="360" w:lineRule="auto"/>
        <w:jc w:val="center"/>
        <w:rPr>
          <w:rFonts w:ascii="Arial" w:hAnsi="Arial" w:cs="Arial"/>
          <w:sz w:val="24"/>
          <w:szCs w:val="24"/>
        </w:rPr>
      </w:pPr>
      <w:r w:rsidRPr="00793FF1">
        <w:rPr>
          <w:noProof/>
        </w:rPr>
        <w:drawing>
          <wp:inline distT="0" distB="0" distL="0" distR="0" wp14:anchorId="04402752" wp14:editId="2C311CA7">
            <wp:extent cx="4524375" cy="2466975"/>
            <wp:effectExtent l="0" t="0" r="9525"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536A5" w:rsidRPr="00793FF1" w:rsidRDefault="006536A5" w:rsidP="006536A5">
      <w:pPr>
        <w:tabs>
          <w:tab w:val="left" w:pos="851"/>
        </w:tabs>
        <w:spacing w:after="120" w:line="360" w:lineRule="auto"/>
        <w:jc w:val="both"/>
        <w:rPr>
          <w:rFonts w:ascii="Arial" w:hAnsi="Arial" w:cs="Arial"/>
          <w:i/>
          <w:sz w:val="16"/>
          <w:szCs w:val="16"/>
        </w:rPr>
      </w:pPr>
      <w:r w:rsidRPr="00793FF1">
        <w:rPr>
          <w:rFonts w:ascii="Arial" w:hAnsi="Arial" w:cs="Arial"/>
          <w:i/>
          <w:sz w:val="18"/>
          <w:szCs w:val="18"/>
        </w:rPr>
        <w:t xml:space="preserve">           </w:t>
      </w:r>
      <w:proofErr w:type="gramStart"/>
      <w:r w:rsidRPr="00793FF1">
        <w:rPr>
          <w:rFonts w:ascii="Arial" w:hAnsi="Arial" w:cs="Arial"/>
          <w:i/>
          <w:sz w:val="16"/>
          <w:szCs w:val="16"/>
        </w:rPr>
        <w:t>Sumber :</w:t>
      </w:r>
      <w:proofErr w:type="gramEnd"/>
      <w:r w:rsidRPr="00793FF1">
        <w:rPr>
          <w:rFonts w:ascii="Arial" w:hAnsi="Arial" w:cs="Arial"/>
          <w:i/>
          <w:sz w:val="16"/>
          <w:szCs w:val="16"/>
        </w:rPr>
        <w:t xml:space="preserve"> BPS dan Bappelitbangda Prov. Sulawesi Selatan, 2021.</w:t>
      </w:r>
    </w:p>
    <w:p w:rsidR="006536A5" w:rsidRPr="00793FF1" w:rsidRDefault="006536A5" w:rsidP="00611D25">
      <w:pPr>
        <w:pStyle w:val="ListParagraph"/>
        <w:numPr>
          <w:ilvl w:val="0"/>
          <w:numId w:val="59"/>
        </w:numPr>
        <w:tabs>
          <w:tab w:val="left" w:pos="851"/>
        </w:tabs>
        <w:spacing w:after="0" w:line="360" w:lineRule="auto"/>
        <w:ind w:left="426" w:hanging="426"/>
        <w:jc w:val="both"/>
        <w:rPr>
          <w:rFonts w:ascii="Arial" w:hAnsi="Arial" w:cs="Arial"/>
          <w:b/>
          <w:sz w:val="24"/>
          <w:szCs w:val="24"/>
        </w:rPr>
      </w:pPr>
      <w:r w:rsidRPr="00793FF1">
        <w:rPr>
          <w:rFonts w:ascii="Arial" w:hAnsi="Arial" w:cs="Arial"/>
          <w:b/>
          <w:sz w:val="24"/>
          <w:szCs w:val="24"/>
        </w:rPr>
        <w:t>Kondisi dan Perubahan Target Ekonomi Makro Kabupaten</w:t>
      </w:r>
    </w:p>
    <w:p w:rsidR="006536A5" w:rsidRPr="00793FF1" w:rsidRDefault="006536A5" w:rsidP="006536A5">
      <w:pPr>
        <w:pStyle w:val="ListParagraph"/>
        <w:tabs>
          <w:tab w:val="left" w:pos="851"/>
        </w:tabs>
        <w:spacing w:after="0" w:line="360" w:lineRule="auto"/>
        <w:ind w:left="426"/>
        <w:jc w:val="both"/>
        <w:rPr>
          <w:rFonts w:ascii="Arial" w:hAnsi="Arial" w:cs="Arial"/>
          <w:b/>
          <w:sz w:val="24"/>
          <w:szCs w:val="24"/>
        </w:rPr>
      </w:pPr>
      <w:r w:rsidRPr="00793FF1">
        <w:rPr>
          <w:rFonts w:ascii="Arial" w:hAnsi="Arial" w:cs="Arial"/>
          <w:b/>
          <w:sz w:val="24"/>
          <w:szCs w:val="24"/>
        </w:rPr>
        <w:tab/>
        <w:t>Kepualuan Selayar</w:t>
      </w:r>
    </w:p>
    <w:p w:rsidR="006536A5" w:rsidRPr="00793FF1" w:rsidRDefault="006536A5" w:rsidP="00611D25">
      <w:pPr>
        <w:pStyle w:val="ListParagraph"/>
        <w:numPr>
          <w:ilvl w:val="0"/>
          <w:numId w:val="61"/>
        </w:numPr>
        <w:tabs>
          <w:tab w:val="left" w:pos="851"/>
        </w:tabs>
        <w:spacing w:after="0" w:line="360" w:lineRule="auto"/>
        <w:ind w:left="426" w:hanging="426"/>
        <w:jc w:val="both"/>
        <w:rPr>
          <w:rFonts w:ascii="Arial" w:hAnsi="Arial" w:cs="Arial"/>
          <w:b/>
          <w:sz w:val="24"/>
          <w:szCs w:val="24"/>
        </w:rPr>
      </w:pPr>
      <w:r w:rsidRPr="00793FF1">
        <w:rPr>
          <w:rFonts w:ascii="Arial" w:hAnsi="Arial" w:cs="Arial"/>
          <w:b/>
          <w:sz w:val="24"/>
          <w:szCs w:val="24"/>
        </w:rPr>
        <w:lastRenderedPageBreak/>
        <w:t>Pertumbuhan Ekonomi</w:t>
      </w:r>
    </w:p>
    <w:p w:rsidR="006536A5" w:rsidRPr="00793FF1" w:rsidRDefault="006536A5" w:rsidP="006536A5">
      <w:pPr>
        <w:tabs>
          <w:tab w:val="left" w:pos="851"/>
        </w:tabs>
        <w:spacing w:after="0" w:line="360" w:lineRule="auto"/>
        <w:ind w:firstLine="851"/>
        <w:jc w:val="both"/>
        <w:rPr>
          <w:rFonts w:ascii="Arial" w:hAnsi="Arial" w:cs="Arial"/>
          <w:sz w:val="24"/>
          <w:szCs w:val="24"/>
        </w:rPr>
      </w:pPr>
      <w:r w:rsidRPr="00793FF1">
        <w:rPr>
          <w:rFonts w:ascii="Arial" w:hAnsi="Arial" w:cs="Arial"/>
          <w:sz w:val="24"/>
          <w:szCs w:val="24"/>
        </w:rPr>
        <w:t>Berdasarkan target pada saat penyusunan RKPD Pokok tahun 2021, kondisi Pandemi COVID-19 di Kepulauan Selayar pada tahun 2021 diperkirakan membaik dibanding tahun sebelumnya sehing</w:t>
      </w:r>
      <w:r w:rsidR="00676B60">
        <w:rPr>
          <w:rFonts w:ascii="Arial" w:hAnsi="Arial" w:cs="Arial"/>
          <w:sz w:val="24"/>
          <w:szCs w:val="24"/>
        </w:rPr>
        <w:t>ga ekonomi diperkirakan tumbuh 7</w:t>
      </w:r>
      <w:proofErr w:type="gramStart"/>
      <w:r w:rsidR="00676B60">
        <w:rPr>
          <w:rFonts w:ascii="Arial" w:hAnsi="Arial" w:cs="Arial"/>
          <w:sz w:val="24"/>
          <w:szCs w:val="24"/>
        </w:rPr>
        <w:t>,48</w:t>
      </w:r>
      <w:proofErr w:type="gramEnd"/>
      <w:r w:rsidRPr="00793FF1">
        <w:rPr>
          <w:rFonts w:ascii="Arial" w:hAnsi="Arial" w:cs="Arial"/>
          <w:sz w:val="24"/>
          <w:szCs w:val="24"/>
        </w:rPr>
        <w:t xml:space="preserve"> persen. Namun, pada triwulan III tahun 2021 pemerintah kembali menerapkan Pemberlakukan Pembatasan Kegiatan Masyarakat (PPKM) level 3. Pelaksanaan PPKM pada triwulan III ini diperkirakan </w:t>
      </w:r>
      <w:proofErr w:type="gramStart"/>
      <w:r w:rsidRPr="00793FF1">
        <w:rPr>
          <w:rFonts w:ascii="Arial" w:hAnsi="Arial" w:cs="Arial"/>
          <w:sz w:val="24"/>
          <w:szCs w:val="24"/>
        </w:rPr>
        <w:t>akan</w:t>
      </w:r>
      <w:proofErr w:type="gramEnd"/>
      <w:r w:rsidRPr="00793FF1">
        <w:rPr>
          <w:rFonts w:ascii="Arial" w:hAnsi="Arial" w:cs="Arial"/>
          <w:sz w:val="24"/>
          <w:szCs w:val="24"/>
        </w:rPr>
        <w:t xml:space="preserve"> memperlambat pertumbuhan beberapa sektor lapangan usaha seperti sektor pertanian, kehutanan dan perikanan; transpotasi dan pergudangan; serta penyediaan akomodasi dan makan minum. Dengan pertimbangan tersebut, target pertumbuhan ekonomi Kabupaten Kepulauan Selayar tah</w:t>
      </w:r>
      <w:r w:rsidR="00676B60">
        <w:rPr>
          <w:rFonts w:ascii="Arial" w:hAnsi="Arial" w:cs="Arial"/>
          <w:sz w:val="24"/>
          <w:szCs w:val="24"/>
        </w:rPr>
        <w:t>un 2021 yang semula sebesar 7,48</w:t>
      </w:r>
      <w:r w:rsidRPr="00793FF1">
        <w:rPr>
          <w:rFonts w:ascii="Arial" w:hAnsi="Arial" w:cs="Arial"/>
          <w:sz w:val="24"/>
          <w:szCs w:val="24"/>
        </w:rPr>
        <w:t xml:space="preserve"> persen, direvisi menjadi sebesar 3,10-4,50 persen.</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Grafik 3.2</w:t>
      </w:r>
    </w:p>
    <w:p w:rsidR="006536A5" w:rsidRPr="00793FF1" w:rsidRDefault="006536A5" w:rsidP="006536A5">
      <w:pPr>
        <w:tabs>
          <w:tab w:val="left" w:pos="851"/>
        </w:tabs>
        <w:spacing w:after="120" w:line="240" w:lineRule="auto"/>
        <w:jc w:val="center"/>
        <w:rPr>
          <w:rFonts w:ascii="Arial" w:hAnsi="Arial" w:cs="Arial"/>
          <w:b/>
        </w:rPr>
      </w:pPr>
      <w:r w:rsidRPr="00793FF1">
        <w:rPr>
          <w:rFonts w:ascii="Arial" w:hAnsi="Arial" w:cs="Arial"/>
          <w:b/>
        </w:rPr>
        <w:t>Pertumbuhan Ekonomi Kabupaten Kepulauan Selayar (Persen)</w:t>
      </w:r>
    </w:p>
    <w:p w:rsidR="006536A5" w:rsidRPr="00793FF1" w:rsidRDefault="00153107" w:rsidP="006536A5">
      <w:pPr>
        <w:tabs>
          <w:tab w:val="left" w:pos="851"/>
        </w:tabs>
        <w:spacing w:after="0" w:line="360" w:lineRule="auto"/>
        <w:ind w:firstLine="426"/>
        <w:jc w:val="both"/>
        <w:rPr>
          <w:rFonts w:ascii="Arial" w:hAnsi="Arial" w:cs="Arial"/>
          <w:sz w:val="24"/>
          <w:szCs w:val="24"/>
        </w:rPr>
      </w:pPr>
      <w:r>
        <w:rPr>
          <w:noProof/>
        </w:rPr>
        <w:drawing>
          <wp:inline distT="0" distB="0" distL="0" distR="0" wp14:anchorId="028F5EA4" wp14:editId="7C76AB21">
            <wp:extent cx="4572000" cy="27432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536A5" w:rsidRPr="00793FF1" w:rsidRDefault="006536A5" w:rsidP="006536A5">
      <w:pPr>
        <w:tabs>
          <w:tab w:val="left" w:pos="851"/>
        </w:tabs>
        <w:spacing w:after="120" w:line="360" w:lineRule="auto"/>
        <w:ind w:firstLine="425"/>
        <w:jc w:val="both"/>
        <w:rPr>
          <w:rFonts w:ascii="Arial" w:hAnsi="Arial" w:cs="Arial"/>
          <w:sz w:val="24"/>
          <w:szCs w:val="24"/>
        </w:rPr>
      </w:pPr>
      <w:proofErr w:type="gramStart"/>
      <w:r w:rsidRPr="00793FF1">
        <w:rPr>
          <w:rFonts w:ascii="Arial" w:hAnsi="Arial" w:cs="Arial"/>
          <w:i/>
          <w:sz w:val="16"/>
          <w:szCs w:val="16"/>
        </w:rPr>
        <w:t>Sumber :</w:t>
      </w:r>
      <w:proofErr w:type="gramEnd"/>
      <w:r w:rsidRPr="00793FF1">
        <w:rPr>
          <w:rFonts w:ascii="Arial" w:hAnsi="Arial" w:cs="Arial"/>
          <w:i/>
          <w:sz w:val="16"/>
          <w:szCs w:val="16"/>
        </w:rPr>
        <w:t xml:space="preserve"> BPS dan Bappelitbangda Kab.Kepulauan Selayar, 2021.</w:t>
      </w:r>
    </w:p>
    <w:p w:rsidR="006536A5" w:rsidRPr="00793FF1" w:rsidRDefault="006536A5" w:rsidP="00611D25">
      <w:pPr>
        <w:pStyle w:val="ListParagraph"/>
        <w:numPr>
          <w:ilvl w:val="0"/>
          <w:numId w:val="61"/>
        </w:numPr>
        <w:tabs>
          <w:tab w:val="left" w:pos="851"/>
        </w:tabs>
        <w:spacing w:after="0" w:line="360" w:lineRule="auto"/>
        <w:ind w:left="426" w:hanging="426"/>
        <w:jc w:val="both"/>
        <w:rPr>
          <w:rFonts w:ascii="Arial" w:hAnsi="Arial" w:cs="Arial"/>
          <w:b/>
          <w:sz w:val="24"/>
          <w:szCs w:val="24"/>
        </w:rPr>
      </w:pPr>
      <w:r w:rsidRPr="00793FF1">
        <w:rPr>
          <w:rFonts w:ascii="Arial" w:hAnsi="Arial" w:cs="Arial"/>
          <w:b/>
          <w:sz w:val="24"/>
          <w:szCs w:val="24"/>
        </w:rPr>
        <w:t>PDRB Per Kapita</w:t>
      </w:r>
    </w:p>
    <w:p w:rsidR="006536A5" w:rsidRPr="00793FF1" w:rsidRDefault="006536A5" w:rsidP="006536A5">
      <w:pPr>
        <w:tabs>
          <w:tab w:val="left" w:pos="851"/>
        </w:tabs>
        <w:spacing w:after="0" w:line="360" w:lineRule="auto"/>
        <w:jc w:val="both"/>
        <w:rPr>
          <w:rFonts w:ascii="Arial" w:hAnsi="Arial" w:cs="Arial"/>
          <w:sz w:val="24"/>
          <w:szCs w:val="24"/>
        </w:rPr>
      </w:pPr>
      <w:r w:rsidRPr="00793FF1">
        <w:rPr>
          <w:rFonts w:ascii="Arial" w:hAnsi="Arial" w:cs="Arial"/>
          <w:sz w:val="24"/>
          <w:szCs w:val="24"/>
        </w:rPr>
        <w:tab/>
        <w:t xml:space="preserve">PDRB per kapita merupakan PDRB yang dibagi dengan jumlah penduduk pada pertengahan tahun. PDRB perkapita merupakan salah satu angka yang dipakai untuk melihat keberhasilan pembangunan dari aspek perekonomian pada suatu wilayah. PDRB per kapita Kabupaten Kepulauan Selayar terus mengalami peningkatan sepanjang tahun 2016 sampai dengan tahun 2019. Namun pandemi COVID-19 yang terjadi pada tahun 2020 berdampak pada perekonomian dan menurunkan nilai PDRB per kapita pada tahun 2020 menjadi 46,71 juta rupiah. Penerapan PPKM level 3 pada triwulan </w:t>
      </w:r>
      <w:r w:rsidRPr="00793FF1">
        <w:rPr>
          <w:rFonts w:ascii="Arial" w:hAnsi="Arial" w:cs="Arial"/>
          <w:sz w:val="24"/>
          <w:szCs w:val="24"/>
        </w:rPr>
        <w:lastRenderedPageBreak/>
        <w:t>III tahun 2021 diharapkan tidak sepanjang PSBB pada tahun 2020, sehingga sektor-sektor penyangga PDRB bisa kembali tumbuh. Atas pertimbangan tersebut, PDRB per kapita pada tahun 2021 ditargetkan sebesar 46</w:t>
      </w:r>
      <w:proofErr w:type="gramStart"/>
      <w:r w:rsidRPr="00793FF1">
        <w:rPr>
          <w:rFonts w:ascii="Arial" w:hAnsi="Arial" w:cs="Arial"/>
          <w:sz w:val="24"/>
          <w:szCs w:val="24"/>
        </w:rPr>
        <w:t>,98</w:t>
      </w:r>
      <w:proofErr w:type="gramEnd"/>
      <w:r w:rsidRPr="00793FF1">
        <w:rPr>
          <w:rFonts w:ascii="Arial" w:hAnsi="Arial" w:cs="Arial"/>
          <w:sz w:val="24"/>
          <w:szCs w:val="24"/>
        </w:rPr>
        <w:t xml:space="preserve"> juta rupiah.</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Grafik 3.3</w:t>
      </w:r>
    </w:p>
    <w:p w:rsidR="006536A5" w:rsidRPr="00793FF1" w:rsidRDefault="006536A5" w:rsidP="006536A5">
      <w:pPr>
        <w:tabs>
          <w:tab w:val="left" w:pos="851"/>
        </w:tabs>
        <w:spacing w:after="120" w:line="240" w:lineRule="auto"/>
        <w:jc w:val="center"/>
        <w:rPr>
          <w:rFonts w:ascii="Arial" w:hAnsi="Arial" w:cs="Arial"/>
          <w:b/>
        </w:rPr>
      </w:pPr>
      <w:r w:rsidRPr="00793FF1">
        <w:rPr>
          <w:rFonts w:ascii="Arial" w:hAnsi="Arial" w:cs="Arial"/>
          <w:b/>
        </w:rPr>
        <w:t xml:space="preserve">PDRB </w:t>
      </w:r>
      <w:proofErr w:type="gramStart"/>
      <w:r w:rsidRPr="00793FF1">
        <w:rPr>
          <w:rFonts w:ascii="Arial" w:hAnsi="Arial" w:cs="Arial"/>
          <w:b/>
        </w:rPr>
        <w:t>Per</w:t>
      </w:r>
      <w:proofErr w:type="gramEnd"/>
      <w:r w:rsidRPr="00793FF1">
        <w:rPr>
          <w:rFonts w:ascii="Arial" w:hAnsi="Arial" w:cs="Arial"/>
          <w:b/>
        </w:rPr>
        <w:t xml:space="preserve"> Kapita Kabupaten Kepulauan Selayar (Juta Rupiah)</w:t>
      </w:r>
    </w:p>
    <w:p w:rsidR="006536A5" w:rsidRPr="00793FF1" w:rsidRDefault="00674394" w:rsidP="006536A5">
      <w:pPr>
        <w:tabs>
          <w:tab w:val="left" w:pos="851"/>
        </w:tabs>
        <w:spacing w:after="0" w:line="360" w:lineRule="auto"/>
        <w:jc w:val="center"/>
        <w:rPr>
          <w:rFonts w:ascii="Arial" w:hAnsi="Arial" w:cs="Arial"/>
          <w:sz w:val="24"/>
          <w:szCs w:val="24"/>
        </w:rPr>
      </w:pPr>
      <w:r>
        <w:rPr>
          <w:noProof/>
        </w:rPr>
        <w:drawing>
          <wp:inline distT="0" distB="0" distL="0" distR="0" wp14:anchorId="3A0359BD" wp14:editId="7FAE374B">
            <wp:extent cx="4572000" cy="27432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536A5" w:rsidRPr="00793FF1" w:rsidRDefault="006536A5" w:rsidP="006536A5">
      <w:pPr>
        <w:tabs>
          <w:tab w:val="left" w:pos="851"/>
        </w:tabs>
        <w:spacing w:after="120" w:line="360" w:lineRule="auto"/>
        <w:ind w:firstLine="425"/>
        <w:jc w:val="both"/>
        <w:rPr>
          <w:rFonts w:ascii="Arial" w:hAnsi="Arial" w:cs="Arial"/>
          <w:sz w:val="24"/>
          <w:szCs w:val="24"/>
        </w:rPr>
      </w:pPr>
      <w:r w:rsidRPr="00793FF1">
        <w:rPr>
          <w:rFonts w:ascii="Arial" w:hAnsi="Arial" w:cs="Arial"/>
          <w:i/>
          <w:sz w:val="16"/>
          <w:szCs w:val="16"/>
        </w:rPr>
        <w:t xml:space="preserve"> </w:t>
      </w:r>
      <w:proofErr w:type="gramStart"/>
      <w:r w:rsidRPr="00793FF1">
        <w:rPr>
          <w:rFonts w:ascii="Arial" w:hAnsi="Arial" w:cs="Arial"/>
          <w:i/>
          <w:sz w:val="16"/>
          <w:szCs w:val="16"/>
        </w:rPr>
        <w:t>Sumber :</w:t>
      </w:r>
      <w:proofErr w:type="gramEnd"/>
      <w:r w:rsidRPr="00793FF1">
        <w:rPr>
          <w:rFonts w:ascii="Arial" w:hAnsi="Arial" w:cs="Arial"/>
          <w:i/>
          <w:sz w:val="16"/>
          <w:szCs w:val="16"/>
        </w:rPr>
        <w:t xml:space="preserve"> BPS dan Bappelitbangda Kab.Kepulauan Selayar, 2021.</w:t>
      </w:r>
    </w:p>
    <w:p w:rsidR="006536A5" w:rsidRPr="00793FF1" w:rsidRDefault="006536A5" w:rsidP="00611D25">
      <w:pPr>
        <w:pStyle w:val="ListParagraph"/>
        <w:numPr>
          <w:ilvl w:val="0"/>
          <w:numId w:val="61"/>
        </w:numPr>
        <w:tabs>
          <w:tab w:val="left" w:pos="851"/>
        </w:tabs>
        <w:spacing w:after="0" w:line="360" w:lineRule="auto"/>
        <w:ind w:left="426" w:hanging="426"/>
        <w:jc w:val="both"/>
        <w:rPr>
          <w:rFonts w:ascii="Arial" w:hAnsi="Arial" w:cs="Arial"/>
          <w:b/>
          <w:sz w:val="24"/>
          <w:szCs w:val="24"/>
        </w:rPr>
      </w:pPr>
      <w:r w:rsidRPr="00793FF1">
        <w:rPr>
          <w:rFonts w:ascii="Arial" w:hAnsi="Arial" w:cs="Arial"/>
          <w:b/>
          <w:sz w:val="24"/>
          <w:szCs w:val="24"/>
        </w:rPr>
        <w:t>Tingkat Pengangguran Terbuka</w:t>
      </w:r>
    </w:p>
    <w:p w:rsidR="006536A5" w:rsidRPr="00793FF1" w:rsidRDefault="006536A5" w:rsidP="006536A5">
      <w:pPr>
        <w:tabs>
          <w:tab w:val="left" w:pos="851"/>
        </w:tabs>
        <w:spacing w:after="0" w:line="360" w:lineRule="auto"/>
        <w:ind w:firstLine="851"/>
        <w:jc w:val="both"/>
        <w:rPr>
          <w:rFonts w:ascii="Arial" w:hAnsi="Arial" w:cs="Arial"/>
          <w:sz w:val="24"/>
          <w:szCs w:val="24"/>
          <w:lang w:val="en-ID"/>
        </w:rPr>
      </w:pPr>
      <w:r w:rsidRPr="00793FF1">
        <w:rPr>
          <w:rFonts w:ascii="Arial" w:hAnsi="Arial" w:cs="Arial"/>
          <w:sz w:val="24"/>
          <w:szCs w:val="24"/>
        </w:rPr>
        <w:t>Pertumbuhan sektor industri pengolahan, konstruksi, transportasi dan pergudangan, serta penyediaan akomodasi dan makan minum sangat berpengaruh terhadap tersedianya lapangan kerja di Kabupaten Kepulauan Selayar. Namun akibat pandemi COVID-19 keempat sektor tersebut mengala-</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Grafik 3.4</w:t>
      </w:r>
    </w:p>
    <w:p w:rsidR="006536A5" w:rsidRPr="00793FF1" w:rsidRDefault="006536A5" w:rsidP="006536A5">
      <w:pPr>
        <w:tabs>
          <w:tab w:val="left" w:pos="851"/>
        </w:tabs>
        <w:spacing w:after="120" w:line="240" w:lineRule="auto"/>
        <w:jc w:val="center"/>
        <w:rPr>
          <w:rFonts w:ascii="Arial" w:hAnsi="Arial" w:cs="Arial"/>
          <w:b/>
        </w:rPr>
      </w:pPr>
      <w:r w:rsidRPr="00793FF1">
        <w:rPr>
          <w:rFonts w:ascii="Arial" w:hAnsi="Arial" w:cs="Arial"/>
          <w:b/>
        </w:rPr>
        <w:t>Tingkat Pengangguran Terbuka Kabupaten Kepulauan Selayar (Persen)</w:t>
      </w:r>
    </w:p>
    <w:p w:rsidR="006536A5" w:rsidRPr="00793FF1" w:rsidRDefault="00401640" w:rsidP="006536A5">
      <w:pPr>
        <w:tabs>
          <w:tab w:val="left" w:pos="851"/>
        </w:tabs>
        <w:spacing w:after="0" w:line="360" w:lineRule="auto"/>
        <w:jc w:val="center"/>
        <w:rPr>
          <w:rFonts w:ascii="Arial" w:hAnsi="Arial" w:cs="Arial"/>
          <w:sz w:val="24"/>
          <w:szCs w:val="24"/>
        </w:rPr>
      </w:pPr>
      <w:r>
        <w:rPr>
          <w:noProof/>
        </w:rPr>
        <w:drawing>
          <wp:inline distT="0" distB="0" distL="0" distR="0" wp14:anchorId="435B73D4" wp14:editId="4EECE453">
            <wp:extent cx="4572000" cy="27432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536A5" w:rsidRPr="00793FF1" w:rsidRDefault="006536A5" w:rsidP="006536A5">
      <w:pPr>
        <w:tabs>
          <w:tab w:val="left" w:pos="851"/>
        </w:tabs>
        <w:spacing w:after="120" w:line="360" w:lineRule="auto"/>
        <w:ind w:firstLine="425"/>
        <w:jc w:val="both"/>
        <w:rPr>
          <w:rFonts w:ascii="Arial" w:hAnsi="Arial" w:cs="Arial"/>
          <w:i/>
          <w:sz w:val="16"/>
          <w:szCs w:val="16"/>
        </w:rPr>
      </w:pPr>
      <w:r w:rsidRPr="00793FF1">
        <w:rPr>
          <w:rFonts w:ascii="Arial" w:hAnsi="Arial" w:cs="Arial"/>
          <w:i/>
          <w:sz w:val="16"/>
          <w:szCs w:val="16"/>
        </w:rPr>
        <w:t xml:space="preserve">  </w:t>
      </w:r>
      <w:proofErr w:type="gramStart"/>
      <w:r w:rsidRPr="00793FF1">
        <w:rPr>
          <w:rFonts w:ascii="Arial" w:hAnsi="Arial" w:cs="Arial"/>
          <w:i/>
          <w:sz w:val="16"/>
          <w:szCs w:val="16"/>
        </w:rPr>
        <w:t>Sumber :</w:t>
      </w:r>
      <w:proofErr w:type="gramEnd"/>
      <w:r w:rsidRPr="00793FF1">
        <w:rPr>
          <w:rFonts w:ascii="Arial" w:hAnsi="Arial" w:cs="Arial"/>
          <w:i/>
          <w:sz w:val="16"/>
          <w:szCs w:val="16"/>
        </w:rPr>
        <w:t xml:space="preserve"> BPS dan Bappelitbangda Kab.Kepulauan Selayar, 2021.</w:t>
      </w:r>
    </w:p>
    <w:p w:rsidR="006536A5" w:rsidRPr="00793FF1" w:rsidRDefault="006536A5" w:rsidP="006536A5">
      <w:pPr>
        <w:tabs>
          <w:tab w:val="left" w:pos="851"/>
        </w:tabs>
        <w:spacing w:after="120" w:line="360" w:lineRule="auto"/>
        <w:jc w:val="both"/>
        <w:rPr>
          <w:rFonts w:ascii="Arial" w:hAnsi="Arial" w:cs="Arial"/>
          <w:sz w:val="24"/>
          <w:szCs w:val="24"/>
          <w:lang w:val="en-ID"/>
        </w:rPr>
      </w:pPr>
      <w:proofErr w:type="gramStart"/>
      <w:r w:rsidRPr="00793FF1">
        <w:rPr>
          <w:rFonts w:ascii="Arial" w:hAnsi="Arial" w:cs="Arial"/>
          <w:sz w:val="24"/>
          <w:szCs w:val="24"/>
        </w:rPr>
        <w:lastRenderedPageBreak/>
        <w:t>mi</w:t>
      </w:r>
      <w:proofErr w:type="gramEnd"/>
      <w:r w:rsidRPr="00793FF1">
        <w:rPr>
          <w:rFonts w:ascii="Arial" w:hAnsi="Arial" w:cs="Arial"/>
          <w:sz w:val="24"/>
          <w:szCs w:val="24"/>
        </w:rPr>
        <w:t xml:space="preserve"> kontraksi pada tahun 2020. Penerapan </w:t>
      </w:r>
      <w:r w:rsidRPr="00793FF1">
        <w:rPr>
          <w:rFonts w:ascii="Arial" w:hAnsi="Arial" w:cs="Arial"/>
          <w:sz w:val="24"/>
          <w:szCs w:val="24"/>
          <w:lang w:val="en-ID"/>
        </w:rPr>
        <w:t>PPKM pada triwulan III tahun 2021 diharapkan tidak berlangsung lama seperti Pembatasan Sosial Berskala Besar (PSBB) tahun 2020, sehingga sektor-sektor tersebut dapat tumbuh dan mendorong tersedianya lapangan kerja yang lebih luas dibandingkan tahun 2020. Oleh karena itu, pada tahun 2021 TPT ditargetkan sebesar 2</w:t>
      </w:r>
      <w:proofErr w:type="gramStart"/>
      <w:r w:rsidRPr="00793FF1">
        <w:rPr>
          <w:rFonts w:ascii="Arial" w:hAnsi="Arial" w:cs="Arial"/>
          <w:sz w:val="24"/>
          <w:szCs w:val="24"/>
          <w:lang w:val="en-ID"/>
        </w:rPr>
        <w:t>,20</w:t>
      </w:r>
      <w:proofErr w:type="gramEnd"/>
      <w:r w:rsidRPr="00793FF1">
        <w:rPr>
          <w:rFonts w:ascii="Arial" w:hAnsi="Arial" w:cs="Arial"/>
          <w:sz w:val="24"/>
          <w:szCs w:val="24"/>
          <w:lang w:val="en-ID"/>
        </w:rPr>
        <w:t xml:space="preserve"> persen.</w:t>
      </w:r>
    </w:p>
    <w:p w:rsidR="006536A5" w:rsidRPr="00793FF1" w:rsidRDefault="006536A5" w:rsidP="00611D25">
      <w:pPr>
        <w:pStyle w:val="ListParagraph"/>
        <w:numPr>
          <w:ilvl w:val="0"/>
          <w:numId w:val="61"/>
        </w:numPr>
        <w:tabs>
          <w:tab w:val="left" w:pos="851"/>
        </w:tabs>
        <w:spacing w:after="0" w:line="360" w:lineRule="auto"/>
        <w:ind w:left="426" w:hanging="426"/>
        <w:jc w:val="both"/>
        <w:rPr>
          <w:rFonts w:ascii="Arial" w:hAnsi="Arial" w:cs="Arial"/>
          <w:b/>
          <w:sz w:val="24"/>
          <w:szCs w:val="24"/>
        </w:rPr>
      </w:pPr>
      <w:r w:rsidRPr="00793FF1">
        <w:rPr>
          <w:rFonts w:ascii="Arial" w:hAnsi="Arial" w:cs="Arial"/>
          <w:b/>
          <w:sz w:val="24"/>
          <w:szCs w:val="24"/>
        </w:rPr>
        <w:t>Tingkat Kemiskinan</w:t>
      </w:r>
    </w:p>
    <w:p w:rsidR="006536A5" w:rsidRPr="00793FF1" w:rsidRDefault="005D2D88" w:rsidP="006536A5">
      <w:pPr>
        <w:tabs>
          <w:tab w:val="left" w:pos="851"/>
        </w:tabs>
        <w:spacing w:after="120" w:line="360" w:lineRule="auto"/>
        <w:jc w:val="both"/>
        <w:rPr>
          <w:rFonts w:ascii="Arial" w:hAnsi="Arial" w:cs="Arial"/>
          <w:sz w:val="24"/>
          <w:szCs w:val="24"/>
        </w:rPr>
      </w:pPr>
      <w:r w:rsidRPr="00793FF1">
        <w:rPr>
          <w:rFonts w:ascii="Arial" w:hAnsi="Arial" w:cs="Arial"/>
          <w:sz w:val="24"/>
          <w:szCs w:val="24"/>
        </w:rPr>
        <w:tab/>
      </w:r>
      <w:r w:rsidR="006536A5" w:rsidRPr="00793FF1">
        <w:rPr>
          <w:rFonts w:ascii="Arial" w:hAnsi="Arial" w:cs="Arial"/>
          <w:sz w:val="24"/>
          <w:szCs w:val="24"/>
        </w:rPr>
        <w:t xml:space="preserve">Penanganan Pandemi </w:t>
      </w:r>
      <w:r w:rsidR="006536A5" w:rsidRPr="00793FF1">
        <w:rPr>
          <w:rFonts w:ascii="Arial" w:hAnsi="Arial" w:cs="Arial"/>
          <w:i/>
          <w:sz w:val="24"/>
          <w:szCs w:val="24"/>
        </w:rPr>
        <w:t>COVID-19</w:t>
      </w:r>
      <w:r w:rsidR="006536A5" w:rsidRPr="00793FF1">
        <w:rPr>
          <w:rFonts w:ascii="Arial" w:hAnsi="Arial" w:cs="Arial"/>
          <w:sz w:val="24"/>
          <w:szCs w:val="24"/>
        </w:rPr>
        <w:t xml:space="preserve"> dilakukan melalui beberapa program yang langsung menyentuh masyarakat miskin, seperti program pemberdayaan </w:t>
      </w:r>
      <w:r w:rsidR="006536A5" w:rsidRPr="00793FF1">
        <w:rPr>
          <w:rFonts w:ascii="Arial" w:hAnsi="Arial" w:cs="Arial"/>
          <w:bCs/>
          <w:iCs/>
          <w:sz w:val="24"/>
          <w:szCs w:val="24"/>
          <w:lang w:val="en-ID"/>
        </w:rPr>
        <w:t>sosial, program rehabilitasi sosial, program perlindungan dan jaminan sosial, serta beberapa program yang mendukung penurunan angka kemiskinan seperti program pemberdayaan Usaha Mikro, Kecil dan Menengah (UMKM), program pemberdayaan nelayan kecil dan program penyediaan sarana prasarana pertanian</w:t>
      </w:r>
      <w:r w:rsidR="006536A5" w:rsidRPr="00793FF1">
        <w:rPr>
          <w:rFonts w:ascii="Arial" w:hAnsi="Arial" w:cs="Arial"/>
          <w:sz w:val="24"/>
          <w:szCs w:val="24"/>
        </w:rPr>
        <w:t>. Dengan memaksimalkan program tersebut, diharapkan pada tahun 2021 angka kemiskinan dapat ditekan menjadi sebesar 12</w:t>
      </w:r>
      <w:proofErr w:type="gramStart"/>
      <w:r w:rsidR="006536A5" w:rsidRPr="00793FF1">
        <w:rPr>
          <w:rFonts w:ascii="Arial" w:hAnsi="Arial" w:cs="Arial"/>
          <w:sz w:val="24"/>
          <w:szCs w:val="24"/>
        </w:rPr>
        <w:t>,28</w:t>
      </w:r>
      <w:proofErr w:type="gramEnd"/>
      <w:r w:rsidR="006536A5" w:rsidRPr="00793FF1">
        <w:rPr>
          <w:rFonts w:ascii="Arial" w:hAnsi="Arial" w:cs="Arial"/>
          <w:sz w:val="24"/>
          <w:szCs w:val="24"/>
        </w:rPr>
        <w:t xml:space="preserve"> persen.</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Grafik 3.5</w:t>
      </w:r>
    </w:p>
    <w:p w:rsidR="006536A5" w:rsidRPr="00793FF1" w:rsidRDefault="006536A5" w:rsidP="006536A5">
      <w:pPr>
        <w:tabs>
          <w:tab w:val="left" w:pos="851"/>
        </w:tabs>
        <w:spacing w:after="120" w:line="240" w:lineRule="auto"/>
        <w:jc w:val="center"/>
        <w:rPr>
          <w:rFonts w:ascii="Arial" w:hAnsi="Arial" w:cs="Arial"/>
          <w:b/>
        </w:rPr>
      </w:pPr>
      <w:r w:rsidRPr="00793FF1">
        <w:rPr>
          <w:rFonts w:ascii="Arial" w:hAnsi="Arial" w:cs="Arial"/>
          <w:b/>
        </w:rPr>
        <w:t>Tingkat Kemiskinan Kabupaten Kepulauan Selayar (Persen)</w:t>
      </w:r>
    </w:p>
    <w:p w:rsidR="006536A5" w:rsidRPr="00793FF1" w:rsidRDefault="00F047B0" w:rsidP="006536A5">
      <w:pPr>
        <w:tabs>
          <w:tab w:val="left" w:pos="851"/>
        </w:tabs>
        <w:spacing w:after="120" w:line="240" w:lineRule="auto"/>
        <w:jc w:val="center"/>
        <w:rPr>
          <w:rFonts w:ascii="Arial" w:hAnsi="Arial" w:cs="Arial"/>
          <w:b/>
        </w:rPr>
      </w:pPr>
      <w:r>
        <w:rPr>
          <w:noProof/>
        </w:rPr>
        <w:drawing>
          <wp:inline distT="0" distB="0" distL="0" distR="0" wp14:anchorId="6C2DFA36" wp14:editId="78642C35">
            <wp:extent cx="4572000" cy="2743200"/>
            <wp:effectExtent l="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536A5" w:rsidRPr="00793FF1" w:rsidRDefault="006536A5" w:rsidP="006536A5">
      <w:pPr>
        <w:tabs>
          <w:tab w:val="left" w:pos="851"/>
        </w:tabs>
        <w:spacing w:before="120" w:after="120" w:line="360" w:lineRule="auto"/>
        <w:rPr>
          <w:rFonts w:ascii="Arial" w:hAnsi="Arial" w:cs="Arial"/>
          <w:i/>
          <w:sz w:val="16"/>
          <w:szCs w:val="16"/>
        </w:rPr>
      </w:pPr>
      <w:r w:rsidRPr="00793FF1">
        <w:rPr>
          <w:rFonts w:ascii="Arial" w:hAnsi="Arial" w:cs="Arial"/>
          <w:b/>
        </w:rPr>
        <w:t xml:space="preserve">        </w:t>
      </w:r>
      <w:proofErr w:type="gramStart"/>
      <w:r w:rsidRPr="00793FF1">
        <w:rPr>
          <w:rFonts w:ascii="Arial" w:hAnsi="Arial" w:cs="Arial"/>
          <w:i/>
          <w:sz w:val="16"/>
          <w:szCs w:val="16"/>
        </w:rPr>
        <w:t>Sumber :</w:t>
      </w:r>
      <w:proofErr w:type="gramEnd"/>
      <w:r w:rsidRPr="00793FF1">
        <w:rPr>
          <w:rFonts w:ascii="Arial" w:hAnsi="Arial" w:cs="Arial"/>
          <w:i/>
          <w:sz w:val="16"/>
          <w:szCs w:val="16"/>
        </w:rPr>
        <w:t xml:space="preserve"> BPS dan Bappelitbangda Kab.Kepulauan Selayar, 2021.</w:t>
      </w:r>
    </w:p>
    <w:p w:rsidR="006536A5" w:rsidRPr="00793FF1" w:rsidRDefault="006536A5" w:rsidP="00611D25">
      <w:pPr>
        <w:pStyle w:val="ListParagraph"/>
        <w:numPr>
          <w:ilvl w:val="0"/>
          <w:numId w:val="61"/>
        </w:numPr>
        <w:tabs>
          <w:tab w:val="left" w:pos="851"/>
        </w:tabs>
        <w:spacing w:after="0" w:line="360" w:lineRule="auto"/>
        <w:ind w:left="426" w:hanging="426"/>
        <w:jc w:val="both"/>
        <w:rPr>
          <w:rFonts w:ascii="Arial" w:hAnsi="Arial" w:cs="Arial"/>
          <w:b/>
          <w:sz w:val="24"/>
          <w:szCs w:val="24"/>
        </w:rPr>
      </w:pPr>
      <w:r w:rsidRPr="00793FF1">
        <w:rPr>
          <w:rFonts w:ascii="Arial" w:hAnsi="Arial" w:cs="Arial"/>
          <w:b/>
          <w:sz w:val="24"/>
          <w:szCs w:val="24"/>
        </w:rPr>
        <w:t>Indeks Pembangunan Manusia</w:t>
      </w:r>
    </w:p>
    <w:p w:rsidR="006536A5" w:rsidRPr="00793FF1" w:rsidRDefault="006536A5" w:rsidP="006536A5">
      <w:pPr>
        <w:tabs>
          <w:tab w:val="left" w:pos="851"/>
        </w:tabs>
        <w:spacing w:after="0" w:line="360" w:lineRule="auto"/>
        <w:jc w:val="both"/>
        <w:rPr>
          <w:rFonts w:ascii="Arial" w:hAnsi="Arial" w:cs="Arial"/>
          <w:bCs/>
          <w:iCs/>
          <w:sz w:val="24"/>
          <w:szCs w:val="24"/>
          <w:lang w:val="en-ID"/>
        </w:rPr>
      </w:pPr>
      <w:r w:rsidRPr="00793FF1">
        <w:rPr>
          <w:rFonts w:ascii="Arial" w:hAnsi="Arial" w:cs="Arial"/>
          <w:sz w:val="24"/>
          <w:szCs w:val="24"/>
        </w:rPr>
        <w:tab/>
      </w:r>
      <w:r w:rsidRPr="00793FF1">
        <w:rPr>
          <w:rFonts w:ascii="Arial" w:hAnsi="Arial" w:cs="Arial"/>
          <w:bCs/>
          <w:iCs/>
          <w:sz w:val="24"/>
          <w:szCs w:val="24"/>
          <w:lang w:val="en-ID"/>
        </w:rPr>
        <w:t xml:space="preserve">Pemerintah terus berupaya untuk meningkatkan IPM melalui pemenuhan pelayanan dasar terutama bidang pendidikan dan kesehatan. Dalam rangka memenuhi kebutuhan di bidang pendidikan dan kesehatan, pembangunan infrastruktur dasar (pendidikan dan kesehatan) secara merata terus dilaksanakan sehingga masyarakat dapat mengakses fasilitas </w:t>
      </w:r>
      <w:r w:rsidRPr="00793FF1">
        <w:rPr>
          <w:rFonts w:ascii="Arial" w:hAnsi="Arial" w:cs="Arial"/>
          <w:bCs/>
          <w:iCs/>
          <w:sz w:val="24"/>
          <w:szCs w:val="24"/>
          <w:lang w:val="en-ID"/>
        </w:rPr>
        <w:lastRenderedPageBreak/>
        <w:t>pendidikan, dan kesehatan dengan mudah. Dengan upaya tersebut, IPM tahun 2021 ditargetkan sebesar 68</w:t>
      </w:r>
      <w:proofErr w:type="gramStart"/>
      <w:r w:rsidRPr="00793FF1">
        <w:rPr>
          <w:rFonts w:ascii="Arial" w:hAnsi="Arial" w:cs="Arial"/>
          <w:bCs/>
          <w:iCs/>
          <w:sz w:val="24"/>
          <w:szCs w:val="24"/>
          <w:lang w:val="en-ID"/>
        </w:rPr>
        <w:t>,22</w:t>
      </w:r>
      <w:proofErr w:type="gramEnd"/>
      <w:r w:rsidRPr="00793FF1">
        <w:rPr>
          <w:rFonts w:ascii="Arial" w:hAnsi="Arial" w:cs="Arial"/>
          <w:bCs/>
          <w:iCs/>
          <w:sz w:val="24"/>
          <w:szCs w:val="24"/>
          <w:lang w:val="en-ID"/>
        </w:rPr>
        <w:t>.</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Grafik 3.6</w:t>
      </w:r>
    </w:p>
    <w:p w:rsidR="006536A5" w:rsidRPr="00793FF1" w:rsidRDefault="006536A5" w:rsidP="006536A5">
      <w:pPr>
        <w:tabs>
          <w:tab w:val="left" w:pos="851"/>
        </w:tabs>
        <w:spacing w:after="120" w:line="240" w:lineRule="auto"/>
        <w:jc w:val="center"/>
        <w:rPr>
          <w:rFonts w:ascii="Arial" w:hAnsi="Arial" w:cs="Arial"/>
          <w:b/>
        </w:rPr>
      </w:pPr>
      <w:r w:rsidRPr="00793FF1">
        <w:rPr>
          <w:rFonts w:ascii="Arial" w:hAnsi="Arial" w:cs="Arial"/>
          <w:b/>
        </w:rPr>
        <w:t xml:space="preserve">Indeks Pembangunan Manusia Kabupaten Kepulauan Selayar </w:t>
      </w:r>
    </w:p>
    <w:p w:rsidR="006536A5" w:rsidRPr="00793FF1" w:rsidRDefault="00CB05A8" w:rsidP="006536A5">
      <w:pPr>
        <w:tabs>
          <w:tab w:val="left" w:pos="851"/>
        </w:tabs>
        <w:spacing w:after="0" w:line="360" w:lineRule="auto"/>
        <w:jc w:val="center"/>
        <w:rPr>
          <w:rFonts w:ascii="Arial" w:hAnsi="Arial" w:cs="Arial"/>
          <w:sz w:val="24"/>
          <w:szCs w:val="24"/>
        </w:rPr>
      </w:pPr>
      <w:r>
        <w:rPr>
          <w:noProof/>
        </w:rPr>
        <w:drawing>
          <wp:inline distT="0" distB="0" distL="0" distR="0" wp14:anchorId="28F3C527" wp14:editId="51B5D9ED">
            <wp:extent cx="4572000" cy="2743200"/>
            <wp:effectExtent l="0" t="0" r="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536A5" w:rsidRPr="00793FF1" w:rsidRDefault="006536A5" w:rsidP="006536A5">
      <w:pPr>
        <w:tabs>
          <w:tab w:val="left" w:pos="851"/>
        </w:tabs>
        <w:spacing w:after="120" w:line="360" w:lineRule="auto"/>
        <w:jc w:val="both"/>
        <w:rPr>
          <w:rFonts w:ascii="Arial" w:hAnsi="Arial" w:cs="Arial"/>
          <w:sz w:val="24"/>
          <w:szCs w:val="24"/>
        </w:rPr>
      </w:pPr>
      <w:r w:rsidRPr="00793FF1">
        <w:rPr>
          <w:rFonts w:ascii="Arial" w:hAnsi="Arial" w:cs="Arial"/>
          <w:i/>
          <w:sz w:val="16"/>
          <w:szCs w:val="16"/>
        </w:rPr>
        <w:t xml:space="preserve">           </w:t>
      </w:r>
      <w:proofErr w:type="gramStart"/>
      <w:r w:rsidRPr="00793FF1">
        <w:rPr>
          <w:rFonts w:ascii="Arial" w:hAnsi="Arial" w:cs="Arial"/>
          <w:i/>
          <w:sz w:val="16"/>
          <w:szCs w:val="16"/>
        </w:rPr>
        <w:t>Sumber :</w:t>
      </w:r>
      <w:proofErr w:type="gramEnd"/>
      <w:r w:rsidRPr="00793FF1">
        <w:rPr>
          <w:rFonts w:ascii="Arial" w:hAnsi="Arial" w:cs="Arial"/>
          <w:i/>
          <w:sz w:val="16"/>
          <w:szCs w:val="16"/>
        </w:rPr>
        <w:t xml:space="preserve"> BPS dan Bappelitbangda Kab.Kepulauan Selayar, 2021.</w:t>
      </w:r>
    </w:p>
    <w:p w:rsidR="006536A5" w:rsidRPr="00793FF1" w:rsidRDefault="006536A5" w:rsidP="00611D25">
      <w:pPr>
        <w:pStyle w:val="ListParagraph"/>
        <w:numPr>
          <w:ilvl w:val="0"/>
          <w:numId w:val="61"/>
        </w:numPr>
        <w:tabs>
          <w:tab w:val="left" w:pos="851"/>
        </w:tabs>
        <w:spacing w:after="0" w:line="360" w:lineRule="auto"/>
        <w:ind w:left="426" w:hanging="426"/>
        <w:jc w:val="both"/>
        <w:rPr>
          <w:rFonts w:ascii="Arial" w:hAnsi="Arial" w:cs="Arial"/>
          <w:b/>
          <w:sz w:val="24"/>
          <w:szCs w:val="24"/>
        </w:rPr>
      </w:pPr>
      <w:r w:rsidRPr="00793FF1">
        <w:rPr>
          <w:rFonts w:ascii="Arial" w:hAnsi="Arial" w:cs="Arial"/>
          <w:b/>
          <w:sz w:val="24"/>
          <w:szCs w:val="24"/>
        </w:rPr>
        <w:t>Rasio Gini</w:t>
      </w:r>
    </w:p>
    <w:p w:rsidR="006536A5" w:rsidRPr="00793FF1" w:rsidRDefault="006536A5" w:rsidP="006536A5">
      <w:pPr>
        <w:tabs>
          <w:tab w:val="left" w:pos="851"/>
        </w:tabs>
        <w:spacing w:after="0" w:line="360" w:lineRule="auto"/>
        <w:jc w:val="both"/>
        <w:rPr>
          <w:rFonts w:ascii="Arial" w:hAnsi="Arial" w:cs="Arial"/>
          <w:sz w:val="24"/>
          <w:szCs w:val="24"/>
        </w:rPr>
      </w:pPr>
      <w:r w:rsidRPr="00793FF1">
        <w:rPr>
          <w:rFonts w:ascii="Arial" w:hAnsi="Arial" w:cs="Arial"/>
          <w:sz w:val="24"/>
          <w:szCs w:val="24"/>
        </w:rPr>
        <w:tab/>
        <w:t xml:space="preserve">Rasio gini Kabupaten Kepulauan Selayar tahun 2020 sebesar 0,357, meningkat jika dibandingkan tahun 2019. Hal tersebut menunjukkan bahwa </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Grafik 3.7</w:t>
      </w:r>
    </w:p>
    <w:p w:rsidR="006536A5" w:rsidRPr="00793FF1" w:rsidRDefault="006536A5" w:rsidP="006536A5">
      <w:pPr>
        <w:tabs>
          <w:tab w:val="left" w:pos="851"/>
        </w:tabs>
        <w:spacing w:after="120" w:line="240" w:lineRule="auto"/>
        <w:jc w:val="center"/>
        <w:rPr>
          <w:rFonts w:ascii="Arial" w:hAnsi="Arial" w:cs="Arial"/>
          <w:b/>
        </w:rPr>
      </w:pPr>
      <w:r w:rsidRPr="00793FF1">
        <w:rPr>
          <w:rFonts w:ascii="Arial" w:hAnsi="Arial" w:cs="Arial"/>
          <w:b/>
        </w:rPr>
        <w:t xml:space="preserve">Rasio Gini Kabupaten Kepulauan Selayar </w:t>
      </w:r>
    </w:p>
    <w:p w:rsidR="006536A5" w:rsidRPr="00793FF1" w:rsidRDefault="00D22AA2" w:rsidP="006536A5">
      <w:pPr>
        <w:tabs>
          <w:tab w:val="left" w:pos="851"/>
        </w:tabs>
        <w:spacing w:after="0" w:line="360" w:lineRule="auto"/>
        <w:jc w:val="center"/>
        <w:rPr>
          <w:rFonts w:ascii="Arial" w:hAnsi="Arial" w:cs="Arial"/>
          <w:sz w:val="24"/>
          <w:szCs w:val="24"/>
        </w:rPr>
      </w:pPr>
      <w:r>
        <w:rPr>
          <w:noProof/>
        </w:rPr>
        <w:drawing>
          <wp:inline distT="0" distB="0" distL="0" distR="0" wp14:anchorId="5A744803" wp14:editId="00A48A69">
            <wp:extent cx="4572000" cy="2743200"/>
            <wp:effectExtent l="0" t="0" r="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536A5" w:rsidRPr="00793FF1" w:rsidRDefault="006536A5" w:rsidP="006536A5">
      <w:pPr>
        <w:tabs>
          <w:tab w:val="left" w:pos="851"/>
        </w:tabs>
        <w:spacing w:after="120" w:line="360" w:lineRule="auto"/>
        <w:jc w:val="both"/>
        <w:rPr>
          <w:rFonts w:ascii="Arial" w:hAnsi="Arial" w:cs="Arial"/>
          <w:sz w:val="24"/>
          <w:szCs w:val="24"/>
        </w:rPr>
      </w:pPr>
      <w:r w:rsidRPr="00793FF1">
        <w:rPr>
          <w:rFonts w:ascii="Arial" w:hAnsi="Arial" w:cs="Arial"/>
          <w:i/>
          <w:sz w:val="16"/>
          <w:szCs w:val="16"/>
        </w:rPr>
        <w:t xml:space="preserve">           </w:t>
      </w:r>
      <w:proofErr w:type="gramStart"/>
      <w:r w:rsidRPr="00793FF1">
        <w:rPr>
          <w:rFonts w:ascii="Arial" w:hAnsi="Arial" w:cs="Arial"/>
          <w:i/>
          <w:sz w:val="16"/>
          <w:szCs w:val="16"/>
        </w:rPr>
        <w:t>Sumber :</w:t>
      </w:r>
      <w:proofErr w:type="gramEnd"/>
      <w:r w:rsidRPr="00793FF1">
        <w:rPr>
          <w:rFonts w:ascii="Arial" w:hAnsi="Arial" w:cs="Arial"/>
          <w:i/>
          <w:sz w:val="16"/>
          <w:szCs w:val="16"/>
        </w:rPr>
        <w:t xml:space="preserve"> BPS dan Bappelitbangda Kab.Kepulauan Selayar, 2021.</w:t>
      </w:r>
    </w:p>
    <w:p w:rsidR="006536A5" w:rsidRPr="00793FF1" w:rsidRDefault="006536A5" w:rsidP="006536A5">
      <w:pPr>
        <w:tabs>
          <w:tab w:val="left" w:pos="851"/>
        </w:tabs>
        <w:spacing w:after="240" w:line="360" w:lineRule="auto"/>
        <w:jc w:val="both"/>
        <w:rPr>
          <w:rFonts w:ascii="Arial" w:hAnsi="Arial" w:cs="Arial"/>
          <w:sz w:val="24"/>
          <w:szCs w:val="24"/>
        </w:rPr>
      </w:pPr>
      <w:proofErr w:type="gramStart"/>
      <w:r w:rsidRPr="00793FF1">
        <w:rPr>
          <w:rFonts w:ascii="Arial" w:hAnsi="Arial" w:cs="Arial"/>
          <w:sz w:val="24"/>
          <w:szCs w:val="24"/>
        </w:rPr>
        <w:t>pandemi</w:t>
      </w:r>
      <w:proofErr w:type="gramEnd"/>
      <w:r w:rsidRPr="00793FF1">
        <w:rPr>
          <w:rFonts w:ascii="Arial" w:hAnsi="Arial" w:cs="Arial"/>
          <w:sz w:val="24"/>
          <w:szCs w:val="24"/>
        </w:rPr>
        <w:t xml:space="preserve"> COVID-19</w:t>
      </w:r>
      <w:r w:rsidRPr="00793FF1">
        <w:rPr>
          <w:rFonts w:ascii="Arial" w:hAnsi="Arial" w:cs="Arial"/>
          <w:i/>
          <w:sz w:val="24"/>
          <w:szCs w:val="24"/>
        </w:rPr>
        <w:t xml:space="preserve"> </w:t>
      </w:r>
      <w:r w:rsidRPr="00793FF1">
        <w:rPr>
          <w:rFonts w:ascii="Arial" w:hAnsi="Arial" w:cs="Arial"/>
          <w:sz w:val="24"/>
          <w:szCs w:val="24"/>
        </w:rPr>
        <w:t>sangat berpengaruh terhadap pendapatan penduduk,  khususnya golongan menengah ke bawah. Oleh karena itu, pemerintah daerah terus berupaya untuk menekan penyebaran virus COVID-19</w:t>
      </w:r>
      <w:r w:rsidRPr="00793FF1">
        <w:rPr>
          <w:rFonts w:ascii="Arial" w:hAnsi="Arial" w:cs="Arial"/>
          <w:i/>
          <w:sz w:val="24"/>
          <w:szCs w:val="24"/>
        </w:rPr>
        <w:t xml:space="preserve"> </w:t>
      </w:r>
      <w:r w:rsidRPr="00793FF1">
        <w:rPr>
          <w:rFonts w:ascii="Arial" w:hAnsi="Arial" w:cs="Arial"/>
          <w:sz w:val="24"/>
          <w:szCs w:val="24"/>
        </w:rPr>
        <w:t xml:space="preserve">sehingga masyarakat dapat beradaptasi dengan kondisi normal baru yaitu tetap </w:t>
      </w:r>
      <w:r w:rsidRPr="00793FF1">
        <w:rPr>
          <w:rFonts w:ascii="Arial" w:hAnsi="Arial" w:cs="Arial"/>
          <w:sz w:val="24"/>
          <w:szCs w:val="24"/>
        </w:rPr>
        <w:lastRenderedPageBreak/>
        <w:t>beraktivitas seperti biasa dengan menerapkan protokol kesehatan. Atas dasar tersebut, pada tahun 2021 rasio gini ditargetkan dapat diturunkan menjadi sebesar 0,345.</w:t>
      </w:r>
    </w:p>
    <w:p w:rsidR="006536A5" w:rsidRPr="00793FF1" w:rsidRDefault="006536A5" w:rsidP="00611D25">
      <w:pPr>
        <w:pStyle w:val="ListParagraph"/>
        <w:numPr>
          <w:ilvl w:val="0"/>
          <w:numId w:val="58"/>
        </w:numPr>
        <w:tabs>
          <w:tab w:val="left" w:pos="851"/>
        </w:tabs>
        <w:spacing w:after="120" w:line="360" w:lineRule="auto"/>
        <w:ind w:left="284" w:hanging="284"/>
        <w:contextualSpacing w:val="0"/>
        <w:rPr>
          <w:rFonts w:ascii="Arial" w:hAnsi="Arial" w:cs="Arial"/>
          <w:b/>
          <w:sz w:val="24"/>
          <w:szCs w:val="24"/>
        </w:rPr>
      </w:pPr>
      <w:r w:rsidRPr="00793FF1">
        <w:rPr>
          <w:rFonts w:ascii="Arial" w:hAnsi="Arial" w:cs="Arial"/>
          <w:b/>
          <w:sz w:val="24"/>
          <w:szCs w:val="24"/>
        </w:rPr>
        <w:t>Tantangan Perekonomian Daerah</w:t>
      </w:r>
    </w:p>
    <w:p w:rsidR="006536A5" w:rsidRPr="00793FF1" w:rsidRDefault="006536A5" w:rsidP="00611D25">
      <w:pPr>
        <w:pStyle w:val="ListParagraph"/>
        <w:numPr>
          <w:ilvl w:val="0"/>
          <w:numId w:val="62"/>
        </w:numPr>
        <w:spacing w:after="0" w:line="360" w:lineRule="auto"/>
        <w:ind w:left="851" w:hanging="851"/>
        <w:rPr>
          <w:rFonts w:ascii="Arial" w:hAnsi="Arial" w:cs="Arial"/>
          <w:b/>
          <w:sz w:val="24"/>
          <w:szCs w:val="24"/>
        </w:rPr>
      </w:pPr>
      <w:r w:rsidRPr="00793FF1">
        <w:rPr>
          <w:rFonts w:ascii="Arial" w:hAnsi="Arial" w:cs="Arial"/>
          <w:b/>
          <w:sz w:val="24"/>
          <w:szCs w:val="24"/>
        </w:rPr>
        <w:t>Aspek Eksternal</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Perekonomian global pada tahun ini dinilai lebih sulit. Pasalnya, faktor perang dagang kini tak hanya antara Amerika Serikat dengan China, tapi sudah meluas ke Uni Eropa. Apalagi dengan kondisi saat ini, wabah Virus COVID-19 telah menyebar di beberapa belahan dunia yang membuat perekonomian menjadi tidak stabil. Diperkirakan situasi ekonomi tahun ini tidak mudah di tengah perlambatan ekonomi global dan ancaman resesi di sejumlah negara. Indonesia harus menggunakan kekuatan perekonomian dalam negeri, konsumsi domestik, yang berkontribusi hampir separuh dari perekonomian nasional. Selain itu penopang pertumbuhan lainnya adalah, belanja pemerintah, ekspor, dan investasi. </w:t>
      </w:r>
      <w:proofErr w:type="gramStart"/>
      <w:r w:rsidRPr="00793FF1">
        <w:rPr>
          <w:rFonts w:ascii="Arial" w:hAnsi="Arial" w:cs="Arial"/>
          <w:sz w:val="24"/>
          <w:szCs w:val="24"/>
          <w:lang w:val="en-ID"/>
        </w:rPr>
        <w:t>pertumbuhan</w:t>
      </w:r>
      <w:proofErr w:type="gramEnd"/>
      <w:r w:rsidRPr="00793FF1">
        <w:rPr>
          <w:rFonts w:ascii="Arial" w:hAnsi="Arial" w:cs="Arial"/>
          <w:sz w:val="24"/>
          <w:szCs w:val="24"/>
          <w:lang w:val="en-ID"/>
        </w:rPr>
        <w:t xml:space="preserve"> ekonomi baru menyasar sektor yang dinilai punya potensi besar, antara lain sektor pertanian, manufaktur, dan jasa-jasa umum seperti perdagangan dan pariwisata inklusif. </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Beberapa tantangan global dan nasional yang menjadi perhatian antara </w:t>
      </w:r>
      <w:proofErr w:type="gramStart"/>
      <w:r w:rsidRPr="00793FF1">
        <w:rPr>
          <w:rFonts w:ascii="Arial" w:hAnsi="Arial" w:cs="Arial"/>
          <w:sz w:val="24"/>
          <w:szCs w:val="24"/>
          <w:lang w:val="en-ID"/>
        </w:rPr>
        <w:t>lain :</w:t>
      </w:r>
      <w:proofErr w:type="gramEnd"/>
    </w:p>
    <w:p w:rsidR="006536A5" w:rsidRPr="00793FF1" w:rsidRDefault="006536A5" w:rsidP="00611D25">
      <w:pPr>
        <w:pStyle w:val="ListParagraph"/>
        <w:numPr>
          <w:ilvl w:val="0"/>
          <w:numId w:val="67"/>
        </w:numPr>
        <w:spacing w:after="0" w:line="360" w:lineRule="auto"/>
        <w:ind w:left="426" w:hanging="426"/>
        <w:jc w:val="both"/>
        <w:rPr>
          <w:rFonts w:ascii="Arial" w:hAnsi="Arial" w:cs="Arial"/>
          <w:sz w:val="24"/>
          <w:szCs w:val="24"/>
          <w:lang w:val="en-ID"/>
        </w:rPr>
      </w:pPr>
      <w:r w:rsidRPr="00793FF1">
        <w:rPr>
          <w:rFonts w:ascii="Arial" w:hAnsi="Arial" w:cs="Arial"/>
          <w:sz w:val="24"/>
          <w:szCs w:val="24"/>
          <w:lang w:val="en-ID"/>
        </w:rPr>
        <w:t xml:space="preserve">Pertumbuhan ekonomi Indonesia </w:t>
      </w:r>
    </w:p>
    <w:p w:rsidR="006536A5" w:rsidRPr="00793FF1" w:rsidRDefault="006536A5" w:rsidP="006536A5">
      <w:pPr>
        <w:pStyle w:val="ListParagraph"/>
        <w:spacing w:after="0" w:line="360" w:lineRule="auto"/>
        <w:ind w:left="426"/>
        <w:jc w:val="both"/>
        <w:rPr>
          <w:rFonts w:ascii="Arial" w:hAnsi="Arial" w:cs="Arial"/>
          <w:sz w:val="24"/>
          <w:szCs w:val="24"/>
          <w:lang w:val="en-ID"/>
        </w:rPr>
      </w:pPr>
      <w:r w:rsidRPr="00793FF1">
        <w:rPr>
          <w:rFonts w:ascii="Arial" w:hAnsi="Arial" w:cs="Arial"/>
          <w:sz w:val="24"/>
          <w:szCs w:val="24"/>
          <w:lang w:val="en-ID"/>
        </w:rPr>
        <w:t xml:space="preserve">Pertumbuhan ekonomi Indonesia </w:t>
      </w:r>
      <w:proofErr w:type="gramStart"/>
      <w:r w:rsidRPr="00793FF1">
        <w:rPr>
          <w:rFonts w:ascii="Arial" w:hAnsi="Arial" w:cs="Arial"/>
          <w:sz w:val="24"/>
          <w:szCs w:val="24"/>
          <w:lang w:val="en-ID"/>
        </w:rPr>
        <w:t>akan</w:t>
      </w:r>
      <w:proofErr w:type="gramEnd"/>
      <w:r w:rsidRPr="00793FF1">
        <w:rPr>
          <w:rFonts w:ascii="Arial" w:hAnsi="Arial" w:cs="Arial"/>
          <w:sz w:val="24"/>
          <w:szCs w:val="24"/>
          <w:lang w:val="en-ID"/>
        </w:rPr>
        <w:t xml:space="preserve"> diprediksi melambat. Hal ini dikarenakan dampak ketidakpastian serta perlambatan ekonomi global yang diprediksi masih </w:t>
      </w:r>
      <w:proofErr w:type="gramStart"/>
      <w:r w:rsidRPr="00793FF1">
        <w:rPr>
          <w:rFonts w:ascii="Arial" w:hAnsi="Arial" w:cs="Arial"/>
          <w:sz w:val="24"/>
          <w:szCs w:val="24"/>
          <w:lang w:val="en-ID"/>
        </w:rPr>
        <w:t>akan</w:t>
      </w:r>
      <w:proofErr w:type="gramEnd"/>
      <w:r w:rsidRPr="00793FF1">
        <w:rPr>
          <w:rFonts w:ascii="Arial" w:hAnsi="Arial" w:cs="Arial"/>
          <w:sz w:val="24"/>
          <w:szCs w:val="24"/>
          <w:lang w:val="en-ID"/>
        </w:rPr>
        <w:t xml:space="preserve"> terjadi pada tahun ini. </w:t>
      </w:r>
    </w:p>
    <w:p w:rsidR="006536A5" w:rsidRPr="00793FF1" w:rsidRDefault="006536A5" w:rsidP="00611D25">
      <w:pPr>
        <w:pStyle w:val="ListParagraph"/>
        <w:numPr>
          <w:ilvl w:val="0"/>
          <w:numId w:val="67"/>
        </w:numPr>
        <w:spacing w:after="0" w:line="360" w:lineRule="auto"/>
        <w:ind w:left="426" w:hanging="426"/>
        <w:jc w:val="both"/>
        <w:rPr>
          <w:rFonts w:ascii="Arial" w:hAnsi="Arial" w:cs="Arial"/>
          <w:sz w:val="24"/>
          <w:szCs w:val="24"/>
          <w:lang w:val="en-ID"/>
        </w:rPr>
      </w:pPr>
      <w:r w:rsidRPr="00793FF1">
        <w:rPr>
          <w:rFonts w:ascii="Arial" w:hAnsi="Arial" w:cs="Arial"/>
          <w:sz w:val="24"/>
          <w:szCs w:val="24"/>
          <w:lang w:val="en-ID"/>
        </w:rPr>
        <w:t xml:space="preserve">Virus Covid-19 (Coronavirus Disease 19) </w:t>
      </w:r>
    </w:p>
    <w:p w:rsidR="006536A5" w:rsidRPr="00793FF1" w:rsidRDefault="006536A5" w:rsidP="006536A5">
      <w:pPr>
        <w:pStyle w:val="ListParagraph"/>
        <w:spacing w:after="0" w:line="360" w:lineRule="auto"/>
        <w:ind w:left="426"/>
        <w:jc w:val="both"/>
        <w:rPr>
          <w:rFonts w:ascii="Arial" w:hAnsi="Arial" w:cs="Arial"/>
          <w:sz w:val="24"/>
          <w:szCs w:val="24"/>
          <w:lang w:val="en-ID"/>
        </w:rPr>
      </w:pPr>
      <w:r w:rsidRPr="00793FF1">
        <w:rPr>
          <w:rFonts w:ascii="Arial" w:hAnsi="Arial" w:cs="Arial"/>
          <w:sz w:val="24"/>
          <w:szCs w:val="24"/>
          <w:lang w:val="en-ID"/>
        </w:rPr>
        <w:t xml:space="preserve">Dengan adanya wabah Virus Covid-19 yang melanda beberapa wilayah, </w:t>
      </w:r>
      <w:proofErr w:type="gramStart"/>
      <w:r w:rsidRPr="00793FF1">
        <w:rPr>
          <w:rFonts w:ascii="Arial" w:hAnsi="Arial" w:cs="Arial"/>
          <w:sz w:val="24"/>
          <w:szCs w:val="24"/>
          <w:lang w:val="en-ID"/>
        </w:rPr>
        <w:t>akan</w:t>
      </w:r>
      <w:proofErr w:type="gramEnd"/>
      <w:r w:rsidRPr="00793FF1">
        <w:rPr>
          <w:rFonts w:ascii="Arial" w:hAnsi="Arial" w:cs="Arial"/>
          <w:sz w:val="24"/>
          <w:szCs w:val="24"/>
          <w:lang w:val="en-ID"/>
        </w:rPr>
        <w:t xml:space="preserve"> berdampak pada Pertumbuhan Ekonomi Global. Dapat diperkirakan dampak Virus Covid-19 bagi daerah antara lain: menurunnya kunjungan wisata, berkurangnya pasokan impor bahan </w:t>
      </w:r>
      <w:proofErr w:type="gramStart"/>
      <w:r w:rsidRPr="00793FF1">
        <w:rPr>
          <w:rFonts w:ascii="Arial" w:hAnsi="Arial" w:cs="Arial"/>
          <w:sz w:val="24"/>
          <w:szCs w:val="24"/>
          <w:lang w:val="en-ID"/>
        </w:rPr>
        <w:t>baku</w:t>
      </w:r>
      <w:proofErr w:type="gramEnd"/>
      <w:r w:rsidRPr="00793FF1">
        <w:rPr>
          <w:rFonts w:ascii="Arial" w:hAnsi="Arial" w:cs="Arial"/>
          <w:sz w:val="24"/>
          <w:szCs w:val="24"/>
          <w:lang w:val="en-ID"/>
        </w:rPr>
        <w:t xml:space="preserve"> industri, menurunnya permintaan eksport komoditas perikanan dan perkebunan, serta menurunnya arus perdagangan.</w:t>
      </w:r>
    </w:p>
    <w:p w:rsidR="006536A5" w:rsidRPr="00793FF1" w:rsidRDefault="006536A5" w:rsidP="00611D25">
      <w:pPr>
        <w:pStyle w:val="ListParagraph"/>
        <w:numPr>
          <w:ilvl w:val="0"/>
          <w:numId w:val="67"/>
        </w:numPr>
        <w:spacing w:after="0" w:line="360" w:lineRule="auto"/>
        <w:ind w:left="426" w:hanging="426"/>
        <w:jc w:val="both"/>
        <w:rPr>
          <w:rFonts w:ascii="Arial" w:hAnsi="Arial" w:cs="Arial"/>
          <w:sz w:val="24"/>
          <w:szCs w:val="24"/>
          <w:lang w:val="en-ID"/>
        </w:rPr>
      </w:pPr>
      <w:r w:rsidRPr="00793FF1">
        <w:rPr>
          <w:rFonts w:ascii="Arial" w:hAnsi="Arial" w:cs="Arial"/>
          <w:sz w:val="24"/>
          <w:szCs w:val="24"/>
          <w:lang w:val="en-ID"/>
        </w:rPr>
        <w:t>Defisit transaksi berjalan (</w:t>
      </w:r>
      <w:r w:rsidRPr="00793FF1">
        <w:rPr>
          <w:rFonts w:ascii="Arial" w:hAnsi="Arial" w:cs="Arial"/>
          <w:i/>
          <w:sz w:val="24"/>
          <w:szCs w:val="24"/>
          <w:lang w:val="en-ID"/>
        </w:rPr>
        <w:t>current account deficit/</w:t>
      </w:r>
      <w:r w:rsidRPr="00793FF1">
        <w:rPr>
          <w:rFonts w:ascii="Arial" w:hAnsi="Arial" w:cs="Arial"/>
          <w:sz w:val="24"/>
          <w:szCs w:val="24"/>
          <w:lang w:val="en-ID"/>
        </w:rPr>
        <w:t>CAD)</w:t>
      </w:r>
    </w:p>
    <w:p w:rsidR="006536A5" w:rsidRPr="00793FF1" w:rsidRDefault="006536A5" w:rsidP="006536A5">
      <w:pPr>
        <w:pStyle w:val="ListParagraph"/>
        <w:spacing w:after="0" w:line="360" w:lineRule="auto"/>
        <w:ind w:left="426"/>
        <w:jc w:val="both"/>
        <w:rPr>
          <w:rFonts w:ascii="Arial" w:hAnsi="Arial" w:cs="Arial"/>
          <w:sz w:val="24"/>
          <w:szCs w:val="24"/>
          <w:lang w:val="en-ID"/>
        </w:rPr>
      </w:pPr>
      <w:r w:rsidRPr="00793FF1">
        <w:rPr>
          <w:rFonts w:ascii="Arial" w:hAnsi="Arial" w:cs="Arial"/>
          <w:sz w:val="24"/>
          <w:szCs w:val="24"/>
          <w:lang w:val="en-ID"/>
        </w:rPr>
        <w:t>CAD masih menjadi tantangan besar bagi pemerintah. Pada kuartal III/2018 CAD tercatat sebesar USD8</w:t>
      </w:r>
      <w:proofErr w:type="gramStart"/>
      <w:r w:rsidRPr="00793FF1">
        <w:rPr>
          <w:rFonts w:ascii="Arial" w:hAnsi="Arial" w:cs="Arial"/>
          <w:sz w:val="24"/>
          <w:szCs w:val="24"/>
          <w:lang w:val="en-ID"/>
        </w:rPr>
        <w:t>,8</w:t>
      </w:r>
      <w:proofErr w:type="gramEnd"/>
      <w:r w:rsidRPr="00793FF1">
        <w:rPr>
          <w:rFonts w:ascii="Arial" w:hAnsi="Arial" w:cs="Arial"/>
          <w:sz w:val="24"/>
          <w:szCs w:val="24"/>
          <w:lang w:val="en-ID"/>
        </w:rPr>
        <w:t xml:space="preserve"> miliar atau 3,37% dari produk domestik bruto (PDB). Angka itu membaik di kuartal III/2019 menjadi </w:t>
      </w:r>
      <w:r w:rsidRPr="00793FF1">
        <w:rPr>
          <w:rFonts w:ascii="Arial" w:hAnsi="Arial" w:cs="Arial"/>
          <w:sz w:val="24"/>
          <w:szCs w:val="24"/>
          <w:lang w:val="en-ID"/>
        </w:rPr>
        <w:lastRenderedPageBreak/>
        <w:t xml:space="preserve">USD7,7 miliar atau 2,7% dari PDB, namun masih di atas target CAD pada tahun ini yang berada di kisaran 2,5%. </w:t>
      </w:r>
    </w:p>
    <w:p w:rsidR="006536A5" w:rsidRPr="00793FF1" w:rsidRDefault="006536A5" w:rsidP="00611D25">
      <w:pPr>
        <w:pStyle w:val="ListParagraph"/>
        <w:numPr>
          <w:ilvl w:val="0"/>
          <w:numId w:val="67"/>
        </w:numPr>
        <w:spacing w:after="0" w:line="360" w:lineRule="auto"/>
        <w:ind w:left="426" w:hanging="426"/>
        <w:jc w:val="both"/>
        <w:rPr>
          <w:rFonts w:ascii="Arial" w:hAnsi="Arial" w:cs="Arial"/>
          <w:sz w:val="24"/>
          <w:szCs w:val="24"/>
          <w:lang w:val="en-ID"/>
        </w:rPr>
      </w:pPr>
      <w:r w:rsidRPr="00793FF1">
        <w:rPr>
          <w:rFonts w:ascii="Arial" w:hAnsi="Arial" w:cs="Arial"/>
          <w:sz w:val="24"/>
          <w:szCs w:val="24"/>
          <w:lang w:val="en-ID"/>
        </w:rPr>
        <w:t>Pertumbuhan kredit masih akan melambat</w:t>
      </w:r>
    </w:p>
    <w:p w:rsidR="006536A5" w:rsidRPr="00793FF1" w:rsidRDefault="006536A5" w:rsidP="006536A5">
      <w:pPr>
        <w:pStyle w:val="ListParagraph"/>
        <w:spacing w:after="0" w:line="360" w:lineRule="auto"/>
        <w:ind w:left="426"/>
        <w:jc w:val="both"/>
        <w:rPr>
          <w:rFonts w:ascii="Arial" w:hAnsi="Arial" w:cs="Arial"/>
          <w:sz w:val="24"/>
          <w:szCs w:val="24"/>
          <w:lang w:val="en-ID"/>
        </w:rPr>
      </w:pPr>
      <w:r w:rsidRPr="00793FF1">
        <w:rPr>
          <w:rFonts w:ascii="Arial" w:hAnsi="Arial" w:cs="Arial"/>
          <w:sz w:val="24"/>
          <w:szCs w:val="24"/>
          <w:lang w:val="en-ID"/>
        </w:rPr>
        <w:t xml:space="preserve">Penyaluran kredit perbankan hingga tahun 2020 diyakini masih </w:t>
      </w:r>
      <w:proofErr w:type="gramStart"/>
      <w:r w:rsidRPr="00793FF1">
        <w:rPr>
          <w:rFonts w:ascii="Arial" w:hAnsi="Arial" w:cs="Arial"/>
          <w:sz w:val="24"/>
          <w:szCs w:val="24"/>
          <w:lang w:val="en-ID"/>
        </w:rPr>
        <w:t>akan</w:t>
      </w:r>
      <w:proofErr w:type="gramEnd"/>
      <w:r w:rsidRPr="00793FF1">
        <w:rPr>
          <w:rFonts w:ascii="Arial" w:hAnsi="Arial" w:cs="Arial"/>
          <w:sz w:val="24"/>
          <w:szCs w:val="24"/>
          <w:lang w:val="en-ID"/>
        </w:rPr>
        <w:t xml:space="preserve"> mengalami perlambatan. Pasalnya kondisi permintaan kredit tahun ini juga masih dibayangi oleh ketidakpastian ekonomi global. </w:t>
      </w:r>
    </w:p>
    <w:p w:rsidR="006536A5" w:rsidRPr="00793FF1" w:rsidRDefault="006536A5" w:rsidP="00611D25">
      <w:pPr>
        <w:pStyle w:val="ListParagraph"/>
        <w:numPr>
          <w:ilvl w:val="0"/>
          <w:numId w:val="67"/>
        </w:numPr>
        <w:spacing w:after="0" w:line="360" w:lineRule="auto"/>
        <w:ind w:left="426" w:hanging="426"/>
        <w:jc w:val="both"/>
        <w:rPr>
          <w:rFonts w:ascii="Arial" w:hAnsi="Arial" w:cs="Arial"/>
          <w:sz w:val="24"/>
          <w:szCs w:val="24"/>
          <w:lang w:val="en-ID"/>
        </w:rPr>
      </w:pPr>
      <w:r w:rsidRPr="00793FF1">
        <w:rPr>
          <w:rFonts w:ascii="Arial" w:hAnsi="Arial" w:cs="Arial"/>
          <w:sz w:val="24"/>
          <w:szCs w:val="24"/>
          <w:lang w:val="en-ID"/>
        </w:rPr>
        <w:t>Defisit neraca perdagangan</w:t>
      </w:r>
    </w:p>
    <w:p w:rsidR="006536A5" w:rsidRPr="00793FF1" w:rsidRDefault="006536A5" w:rsidP="006536A5">
      <w:pPr>
        <w:pStyle w:val="ListParagraph"/>
        <w:spacing w:after="0" w:line="360" w:lineRule="auto"/>
        <w:ind w:left="426"/>
        <w:jc w:val="both"/>
        <w:rPr>
          <w:rFonts w:ascii="Arial" w:hAnsi="Arial" w:cs="Arial"/>
          <w:sz w:val="24"/>
          <w:szCs w:val="24"/>
          <w:lang w:val="en-ID"/>
        </w:rPr>
      </w:pPr>
      <w:r w:rsidRPr="00793FF1">
        <w:rPr>
          <w:rFonts w:ascii="Arial" w:hAnsi="Arial" w:cs="Arial"/>
          <w:sz w:val="24"/>
          <w:szCs w:val="24"/>
          <w:lang w:val="en-ID"/>
        </w:rPr>
        <w:t xml:space="preserve">Tekanan atas kinerja perdagangan Indonesia diperkirakan belum </w:t>
      </w:r>
      <w:proofErr w:type="gramStart"/>
      <w:r w:rsidRPr="00793FF1">
        <w:rPr>
          <w:rFonts w:ascii="Arial" w:hAnsi="Arial" w:cs="Arial"/>
          <w:sz w:val="24"/>
          <w:szCs w:val="24"/>
          <w:lang w:val="en-ID"/>
        </w:rPr>
        <w:t>akan</w:t>
      </w:r>
      <w:proofErr w:type="gramEnd"/>
      <w:r w:rsidRPr="00793FF1">
        <w:rPr>
          <w:rFonts w:ascii="Arial" w:hAnsi="Arial" w:cs="Arial"/>
          <w:sz w:val="24"/>
          <w:szCs w:val="24"/>
          <w:lang w:val="en-ID"/>
        </w:rPr>
        <w:t xml:space="preserve"> mereda seiring masih terus terkoreksinya pertumbuhan perdagangan global. Sementara, perang dagang diperkirakan masih </w:t>
      </w:r>
      <w:proofErr w:type="gramStart"/>
      <w:r w:rsidRPr="00793FF1">
        <w:rPr>
          <w:rFonts w:ascii="Arial" w:hAnsi="Arial" w:cs="Arial"/>
          <w:sz w:val="24"/>
          <w:szCs w:val="24"/>
          <w:lang w:val="en-ID"/>
        </w:rPr>
        <w:t>akan</w:t>
      </w:r>
      <w:proofErr w:type="gramEnd"/>
      <w:r w:rsidRPr="00793FF1">
        <w:rPr>
          <w:rFonts w:ascii="Arial" w:hAnsi="Arial" w:cs="Arial"/>
          <w:sz w:val="24"/>
          <w:szCs w:val="24"/>
          <w:lang w:val="en-ID"/>
        </w:rPr>
        <w:t xml:space="preserve"> berlanjut dan turut menekan negara-negara berkembang termasuk Indonesia. </w:t>
      </w:r>
    </w:p>
    <w:p w:rsidR="006536A5" w:rsidRPr="00793FF1" w:rsidRDefault="006536A5" w:rsidP="00611D25">
      <w:pPr>
        <w:pStyle w:val="ListParagraph"/>
        <w:numPr>
          <w:ilvl w:val="0"/>
          <w:numId w:val="67"/>
        </w:numPr>
        <w:spacing w:after="0" w:line="360" w:lineRule="auto"/>
        <w:ind w:left="426" w:hanging="426"/>
        <w:jc w:val="both"/>
        <w:rPr>
          <w:rFonts w:ascii="Arial" w:hAnsi="Arial" w:cs="Arial"/>
          <w:sz w:val="24"/>
          <w:szCs w:val="24"/>
          <w:lang w:val="en-ID"/>
        </w:rPr>
      </w:pPr>
      <w:r w:rsidRPr="00793FF1">
        <w:rPr>
          <w:rFonts w:ascii="Arial" w:hAnsi="Arial" w:cs="Arial"/>
          <w:sz w:val="24"/>
          <w:szCs w:val="24"/>
          <w:lang w:val="en-ID"/>
        </w:rPr>
        <w:t>Investasi melambat</w:t>
      </w:r>
    </w:p>
    <w:p w:rsidR="006536A5" w:rsidRPr="00793FF1" w:rsidRDefault="006536A5" w:rsidP="006536A5">
      <w:pPr>
        <w:pStyle w:val="ListParagraph"/>
        <w:spacing w:after="0" w:line="360" w:lineRule="auto"/>
        <w:ind w:left="426"/>
        <w:jc w:val="both"/>
        <w:rPr>
          <w:rFonts w:ascii="Arial" w:hAnsi="Arial" w:cs="Arial"/>
          <w:sz w:val="24"/>
          <w:szCs w:val="24"/>
          <w:lang w:val="en-ID"/>
        </w:rPr>
      </w:pPr>
      <w:r w:rsidRPr="00793FF1">
        <w:rPr>
          <w:rFonts w:ascii="Arial" w:hAnsi="Arial" w:cs="Arial"/>
          <w:sz w:val="24"/>
          <w:szCs w:val="24"/>
          <w:lang w:val="en-ID"/>
        </w:rPr>
        <w:t xml:space="preserve">Seperti tahun 2020, investasi ke dalam negeri diperkirakan masih </w:t>
      </w:r>
      <w:proofErr w:type="gramStart"/>
      <w:r w:rsidRPr="00793FF1">
        <w:rPr>
          <w:rFonts w:ascii="Arial" w:hAnsi="Arial" w:cs="Arial"/>
          <w:sz w:val="24"/>
          <w:szCs w:val="24"/>
          <w:lang w:val="en-ID"/>
        </w:rPr>
        <w:t>akan</w:t>
      </w:r>
      <w:proofErr w:type="gramEnd"/>
      <w:r w:rsidRPr="00793FF1">
        <w:rPr>
          <w:rFonts w:ascii="Arial" w:hAnsi="Arial" w:cs="Arial"/>
          <w:sz w:val="24"/>
          <w:szCs w:val="24"/>
          <w:lang w:val="en-ID"/>
        </w:rPr>
        <w:t xml:space="preserve"> mengalami tekanan. Hal ini terlihat pada pencapaian pajak yang tidak sesuai target di tahun 2020. </w:t>
      </w:r>
    </w:p>
    <w:p w:rsidR="006536A5" w:rsidRPr="00793FF1" w:rsidRDefault="006536A5" w:rsidP="00611D25">
      <w:pPr>
        <w:pStyle w:val="ListParagraph"/>
        <w:numPr>
          <w:ilvl w:val="0"/>
          <w:numId w:val="67"/>
        </w:numPr>
        <w:spacing w:after="120" w:line="360" w:lineRule="auto"/>
        <w:ind w:left="425" w:hanging="425"/>
        <w:jc w:val="both"/>
        <w:rPr>
          <w:rFonts w:ascii="Arial" w:hAnsi="Arial" w:cs="Arial"/>
          <w:sz w:val="24"/>
          <w:szCs w:val="24"/>
          <w:lang w:val="en-ID"/>
        </w:rPr>
      </w:pPr>
      <w:r w:rsidRPr="00793FF1">
        <w:rPr>
          <w:rFonts w:ascii="Arial" w:hAnsi="Arial" w:cs="Arial"/>
          <w:sz w:val="24"/>
          <w:szCs w:val="24"/>
          <w:lang w:val="en-ID"/>
        </w:rPr>
        <w:t xml:space="preserve">Refocusing Anggaran </w:t>
      </w:r>
    </w:p>
    <w:p w:rsidR="006536A5" w:rsidRPr="00793FF1" w:rsidRDefault="006536A5" w:rsidP="006536A5">
      <w:pPr>
        <w:pStyle w:val="ListParagraph"/>
        <w:spacing w:after="120" w:line="360" w:lineRule="auto"/>
        <w:ind w:left="425"/>
        <w:contextualSpacing w:val="0"/>
        <w:jc w:val="both"/>
        <w:rPr>
          <w:rFonts w:ascii="Arial" w:hAnsi="Arial" w:cs="Arial"/>
          <w:sz w:val="24"/>
          <w:szCs w:val="24"/>
          <w:lang w:val="en-ID"/>
        </w:rPr>
      </w:pPr>
      <w:r w:rsidRPr="00793FF1">
        <w:rPr>
          <w:rFonts w:ascii="Arial" w:hAnsi="Arial" w:cs="Arial"/>
          <w:sz w:val="24"/>
          <w:szCs w:val="24"/>
          <w:lang w:val="en-ID"/>
        </w:rPr>
        <w:t>Dengan adanya wabah pandemi Covid-19 pada tahun 2020 ini yang berdampak luas di seluruh Indonesia tentunya membutuhkan anggaran yang tidak sedikit, oleh karenanya pemerintah pusat melakukan pemotongan anggaran untuk penanganan covid-19 tersebut.</w:t>
      </w:r>
    </w:p>
    <w:p w:rsidR="006536A5" w:rsidRPr="00793FF1" w:rsidRDefault="006536A5" w:rsidP="00611D25">
      <w:pPr>
        <w:pStyle w:val="ListParagraph"/>
        <w:numPr>
          <w:ilvl w:val="0"/>
          <w:numId w:val="62"/>
        </w:numPr>
        <w:spacing w:after="0" w:line="360" w:lineRule="auto"/>
        <w:ind w:left="851" w:hanging="851"/>
        <w:rPr>
          <w:rFonts w:ascii="Arial" w:hAnsi="Arial" w:cs="Arial"/>
          <w:b/>
          <w:sz w:val="24"/>
          <w:szCs w:val="24"/>
        </w:rPr>
      </w:pPr>
      <w:r w:rsidRPr="00793FF1">
        <w:rPr>
          <w:rFonts w:ascii="Arial" w:hAnsi="Arial" w:cs="Arial"/>
          <w:b/>
          <w:sz w:val="24"/>
          <w:szCs w:val="24"/>
        </w:rPr>
        <w:t>Aspek Internal</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Pertumbuhan ekonomi Kepulauan Selayar pada tahun 2020 tumbuh negatif atau terkontraksi sebesar minus 1</w:t>
      </w:r>
      <w:proofErr w:type="gramStart"/>
      <w:r w:rsidRPr="00793FF1">
        <w:rPr>
          <w:rFonts w:ascii="Arial" w:hAnsi="Arial" w:cs="Arial"/>
          <w:sz w:val="24"/>
          <w:szCs w:val="24"/>
          <w:lang w:val="en-ID"/>
        </w:rPr>
        <w:t>,78</w:t>
      </w:r>
      <w:proofErr w:type="gramEnd"/>
      <w:r w:rsidRPr="00793FF1">
        <w:rPr>
          <w:rFonts w:ascii="Arial" w:hAnsi="Arial" w:cs="Arial"/>
          <w:sz w:val="24"/>
          <w:szCs w:val="24"/>
          <w:lang w:val="en-ID"/>
        </w:rPr>
        <w:t xml:space="preserve"> persen. Angka tersebut menunjukkan tren penurunan dibandingkan dengan tahun 2019 lalu yang tumbuh positif 7</w:t>
      </w:r>
      <w:proofErr w:type="gramStart"/>
      <w:r w:rsidRPr="00793FF1">
        <w:rPr>
          <w:rFonts w:ascii="Arial" w:hAnsi="Arial" w:cs="Arial"/>
          <w:sz w:val="24"/>
          <w:szCs w:val="24"/>
          <w:lang w:val="en-ID"/>
        </w:rPr>
        <w:t>,68</w:t>
      </w:r>
      <w:proofErr w:type="gramEnd"/>
      <w:r w:rsidRPr="00793FF1">
        <w:rPr>
          <w:rFonts w:ascii="Arial" w:hAnsi="Arial" w:cs="Arial"/>
          <w:sz w:val="24"/>
          <w:szCs w:val="24"/>
          <w:lang w:val="en-ID"/>
        </w:rPr>
        <w:t xml:space="preserve"> persen. Penurunan yang sangat tajam ini, merupakan dampak dari wabah COVID-19 yang berawal pada bulan maret tahun 2020.</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Dari sisi lapangan usaha, Produk Domestik Regional Bruto (PDRB)  Kepulauan Selayar pada tahun 2020 utamanya ditopang oleh sektor Pertanian, Kehutanan, dan Perikanan yang berkontribusi 42,44 persen terhadap PDRB. Sektor tersebut tumbuh negatif pada tahun 2020 yaitu minus 5</w:t>
      </w:r>
      <w:proofErr w:type="gramStart"/>
      <w:r w:rsidRPr="00793FF1">
        <w:rPr>
          <w:rFonts w:ascii="Arial" w:hAnsi="Arial" w:cs="Arial"/>
          <w:sz w:val="24"/>
          <w:szCs w:val="24"/>
          <w:lang w:val="en-ID"/>
        </w:rPr>
        <w:t>,79</w:t>
      </w:r>
      <w:proofErr w:type="gramEnd"/>
      <w:r w:rsidRPr="00793FF1">
        <w:rPr>
          <w:rFonts w:ascii="Arial" w:hAnsi="Arial" w:cs="Arial"/>
          <w:sz w:val="24"/>
          <w:szCs w:val="24"/>
          <w:lang w:val="en-ID"/>
        </w:rPr>
        <w:t xml:space="preserve"> persen. Hal tersebut dipicu oleh penurunan produksi sejumlah komoditas pertanian dan kelautan. </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Tiga teratas lapangan usaha yang mampu tumbuh positif pada tahun 2020 adalah Jasa Kesehatan dan Kegiatan Sosial  mencapai 16,90 persen; Pengadaan Air, Pengelolaan Sampah, Limbah dan Daur Ulang yaitu 14,75 </w:t>
      </w:r>
      <w:r w:rsidRPr="00793FF1">
        <w:rPr>
          <w:rFonts w:ascii="Arial" w:hAnsi="Arial" w:cs="Arial"/>
          <w:sz w:val="24"/>
          <w:szCs w:val="24"/>
          <w:lang w:val="en-ID"/>
        </w:rPr>
        <w:lastRenderedPageBreak/>
        <w:t>persen; dan Informasi dan Komunikasi, sebesar 11,99 persen. Lapangan usaha Transpotasi dan Pergudangan justru mengalami kontraksi terdalam yaitu mencapai 18</w:t>
      </w:r>
      <w:proofErr w:type="gramStart"/>
      <w:r w:rsidRPr="00793FF1">
        <w:rPr>
          <w:rFonts w:ascii="Arial" w:hAnsi="Arial" w:cs="Arial"/>
          <w:sz w:val="24"/>
          <w:szCs w:val="24"/>
          <w:lang w:val="en-ID"/>
        </w:rPr>
        <w:t>,85</w:t>
      </w:r>
      <w:proofErr w:type="gramEnd"/>
      <w:r w:rsidRPr="00793FF1">
        <w:rPr>
          <w:rFonts w:ascii="Arial" w:hAnsi="Arial" w:cs="Arial"/>
          <w:sz w:val="24"/>
          <w:szCs w:val="24"/>
          <w:lang w:val="en-ID"/>
        </w:rPr>
        <w:t xml:space="preserve"> persen. Hal tersebut dipicu oleh penutupan pelabuhan penyeberangan Bira-Pammatata dan Bandar Udara H.Aroeppala selama beberapa pekan. Setelah pelabuhan dan bandara beroperasi kembali, diterapkan pembatasan jumlah penumpang selama beberapa pekan. Kontraksi terdalam kedua adalah lapangan usaha Penyediaan Akomodasi dan Makan Minum, yaitu minus 8</w:t>
      </w:r>
      <w:proofErr w:type="gramStart"/>
      <w:r w:rsidRPr="00793FF1">
        <w:rPr>
          <w:rFonts w:ascii="Arial" w:hAnsi="Arial" w:cs="Arial"/>
          <w:sz w:val="24"/>
          <w:szCs w:val="24"/>
          <w:lang w:val="en-ID"/>
        </w:rPr>
        <w:t>,92</w:t>
      </w:r>
      <w:proofErr w:type="gramEnd"/>
      <w:r w:rsidRPr="00793FF1">
        <w:rPr>
          <w:rFonts w:ascii="Arial" w:hAnsi="Arial" w:cs="Arial"/>
          <w:sz w:val="24"/>
          <w:szCs w:val="24"/>
          <w:lang w:val="en-ID"/>
        </w:rPr>
        <w:t xml:space="preserve"> persen. Selanjutnya Jasa Perusahaan minus 8</w:t>
      </w:r>
      <w:proofErr w:type="gramStart"/>
      <w:r w:rsidRPr="00793FF1">
        <w:rPr>
          <w:rFonts w:ascii="Arial" w:hAnsi="Arial" w:cs="Arial"/>
          <w:sz w:val="24"/>
          <w:szCs w:val="24"/>
          <w:lang w:val="en-ID"/>
        </w:rPr>
        <w:t>,33</w:t>
      </w:r>
      <w:proofErr w:type="gramEnd"/>
      <w:r w:rsidRPr="00793FF1">
        <w:rPr>
          <w:rFonts w:ascii="Arial" w:hAnsi="Arial" w:cs="Arial"/>
          <w:sz w:val="24"/>
          <w:szCs w:val="24"/>
          <w:lang w:val="en-ID"/>
        </w:rPr>
        <w:t xml:space="preserve"> persen; dan Jasa Lainnya minus 4,94 persen.</w:t>
      </w:r>
    </w:p>
    <w:p w:rsidR="006536A5" w:rsidRPr="00793FF1" w:rsidRDefault="000D6F2C" w:rsidP="006536A5">
      <w:pPr>
        <w:spacing w:after="12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Dari sisi investasi, </w:t>
      </w:r>
      <w:r w:rsidR="006536A5" w:rsidRPr="00793FF1">
        <w:rPr>
          <w:rFonts w:ascii="Arial" w:hAnsi="Arial" w:cs="Arial"/>
          <w:sz w:val="24"/>
          <w:szCs w:val="24"/>
          <w:lang w:val="en-ID"/>
        </w:rPr>
        <w:t xml:space="preserve">pada tahun 2020 </w:t>
      </w:r>
      <w:r w:rsidRPr="00793FF1">
        <w:rPr>
          <w:rFonts w:ascii="Arial" w:hAnsi="Arial" w:cs="Arial"/>
          <w:sz w:val="24"/>
          <w:szCs w:val="24"/>
          <w:lang w:val="en-ID"/>
        </w:rPr>
        <w:t xml:space="preserve">investasi di Kepulauan Selayar </w:t>
      </w:r>
      <w:r w:rsidR="006536A5" w:rsidRPr="00793FF1">
        <w:rPr>
          <w:rFonts w:ascii="Arial" w:hAnsi="Arial" w:cs="Arial"/>
          <w:sz w:val="24"/>
          <w:szCs w:val="24"/>
          <w:lang w:val="en-ID"/>
        </w:rPr>
        <w:t>mencapai Rp.28.426.287.000, dengan rincian: investasi Penanaman Modal Asing (PMA) sebesar Rp7.487.000 dan investasi Penanaman Modal Dalam Negeri (PMDN) sebesar Rp.28.418.800.000. Realisasi PMA sudah mencapai 71,30 persen dan PMDN 50,21 persen dari target yang ditetapkan.</w:t>
      </w:r>
    </w:p>
    <w:p w:rsidR="006536A5" w:rsidRPr="00793FF1" w:rsidRDefault="006536A5" w:rsidP="00611D25">
      <w:pPr>
        <w:pStyle w:val="ListParagraph"/>
        <w:numPr>
          <w:ilvl w:val="0"/>
          <w:numId w:val="62"/>
        </w:numPr>
        <w:spacing w:after="0" w:line="360" w:lineRule="auto"/>
        <w:ind w:left="851" w:hanging="851"/>
        <w:rPr>
          <w:rFonts w:ascii="Arial" w:hAnsi="Arial" w:cs="Arial"/>
          <w:b/>
          <w:sz w:val="24"/>
          <w:szCs w:val="24"/>
        </w:rPr>
      </w:pPr>
      <w:r w:rsidRPr="00793FF1">
        <w:rPr>
          <w:rFonts w:ascii="Arial" w:hAnsi="Arial" w:cs="Arial"/>
          <w:b/>
          <w:sz w:val="24"/>
          <w:szCs w:val="24"/>
        </w:rPr>
        <w:t>Arah Kebijakan Perekonomian Daerah</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Kasus Covid-19 yang kembali meningkat pada triwulan III tahun 2021 membuat pemerintah daerah menerapkan berbagai kebijakan untuk memutus rantai penyebaran COVID-19. Salah satunya adalah penerapan </w:t>
      </w:r>
      <w:r w:rsidRPr="00793FF1">
        <w:rPr>
          <w:rFonts w:ascii="Arial" w:hAnsi="Arial" w:cs="Arial"/>
          <w:sz w:val="24"/>
          <w:szCs w:val="24"/>
        </w:rPr>
        <w:t>Pemberlakuan Pembatasan Kegiatan Masyarakat (PPKM) level 3</w:t>
      </w:r>
      <w:r w:rsidRPr="00793FF1">
        <w:rPr>
          <w:rFonts w:ascii="Arial" w:hAnsi="Arial" w:cs="Arial"/>
          <w:sz w:val="24"/>
          <w:szCs w:val="24"/>
          <w:lang w:val="en-ID"/>
        </w:rPr>
        <w:t xml:space="preserve"> untuk membatasi mobilitas masyarakat. Kebijakan tersebut kemudian berdampak pada pembatasan jam operasional dan jumlah pengunjung </w:t>
      </w:r>
      <w:r w:rsidRPr="00793FF1">
        <w:rPr>
          <w:rFonts w:ascii="Arial" w:hAnsi="Arial" w:cs="Arial"/>
          <w:sz w:val="24"/>
          <w:szCs w:val="24"/>
        </w:rPr>
        <w:t>rumah makan, kafe, warung, warung kopi, toko dan pasar tradisional.</w:t>
      </w:r>
      <w:r w:rsidRPr="00793FF1">
        <w:rPr>
          <w:rFonts w:ascii="Arial" w:hAnsi="Arial" w:cs="Arial"/>
          <w:sz w:val="24"/>
          <w:szCs w:val="24"/>
          <w:lang w:val="en-ID"/>
        </w:rPr>
        <w:t xml:space="preserve"> Dengan melihat kondisi Kabupaten Kepulauan Selayar yang masih bergelut dengan wabah covid-19 yang makin meluas, hal tersebut tentunya </w:t>
      </w:r>
      <w:proofErr w:type="gramStart"/>
      <w:r w:rsidRPr="00793FF1">
        <w:rPr>
          <w:rFonts w:ascii="Arial" w:hAnsi="Arial" w:cs="Arial"/>
          <w:sz w:val="24"/>
          <w:szCs w:val="24"/>
          <w:lang w:val="en-ID"/>
        </w:rPr>
        <w:t>akan</w:t>
      </w:r>
      <w:proofErr w:type="gramEnd"/>
      <w:r w:rsidRPr="00793FF1">
        <w:rPr>
          <w:rFonts w:ascii="Arial" w:hAnsi="Arial" w:cs="Arial"/>
          <w:sz w:val="24"/>
          <w:szCs w:val="24"/>
          <w:lang w:val="en-ID"/>
        </w:rPr>
        <w:t xml:space="preserve"> berpengaruh pada ekonomi makro daerah sehingga menjadi tantangan perekonomian bagi Kabupaten Kepulauan Selayar.</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Untuk mencegah ekonomi tidak semakin terpukul, pemerintah daerah perlu menyiapkan sejumlah kebijakan. Dari sisi produksi, pemerintah perlu memastikan agar dunia usaha dan industri kecil menengah tetap bergerak melalui penyediaan berbagai kemudahan berusaha dan pemberian stimulus ekonomi (keringanan pajak dan biaya perijinan, pemberian bantuan, dll). Pemerintah Daerah Kepulauan Selayar tetap optimis bahwa target pertumbuhan ekonomi yang positif pada tahun 2021 dapat dicapai. Berdasarkan hasil analisis perkembangan indikator makro ekonomi dan dengan mempertimbangkan aspek prospek dan tantangan perekonomian </w:t>
      </w:r>
      <w:r w:rsidRPr="00793FF1">
        <w:rPr>
          <w:rFonts w:ascii="Arial" w:hAnsi="Arial" w:cs="Arial"/>
          <w:sz w:val="24"/>
          <w:szCs w:val="24"/>
          <w:lang w:val="en-ID"/>
        </w:rPr>
        <w:lastRenderedPageBreak/>
        <w:t xml:space="preserve">dalam daerah, maka sasaran ekonomi makro Kepulauan Selayar pada tahun 2021 ditargetkan sebagaimana tercantum pada tabel berikut : </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Tabel 3.3</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 xml:space="preserve">Target dan Perubahan Pencapaian Indikator Makro Ekonomi </w:t>
      </w:r>
    </w:p>
    <w:p w:rsidR="006536A5" w:rsidRPr="00793FF1" w:rsidRDefault="006536A5" w:rsidP="006536A5">
      <w:pPr>
        <w:tabs>
          <w:tab w:val="left" w:pos="851"/>
        </w:tabs>
        <w:spacing w:after="120" w:line="240" w:lineRule="auto"/>
        <w:jc w:val="center"/>
        <w:rPr>
          <w:rFonts w:ascii="Arial" w:hAnsi="Arial" w:cs="Arial"/>
          <w:b/>
        </w:rPr>
      </w:pPr>
      <w:r w:rsidRPr="00793FF1">
        <w:rPr>
          <w:rFonts w:ascii="Arial" w:hAnsi="Arial" w:cs="Arial"/>
          <w:b/>
        </w:rPr>
        <w:t>Kabupaten Kepulauan Selayar Tahun 2021</w:t>
      </w:r>
    </w:p>
    <w:tbl>
      <w:tblPr>
        <w:tblW w:w="7791" w:type="dxa"/>
        <w:jc w:val="center"/>
        <w:tblLook w:val="04A0" w:firstRow="1" w:lastRow="0" w:firstColumn="1" w:lastColumn="0" w:noHBand="0" w:noVBand="1"/>
      </w:tblPr>
      <w:tblGrid>
        <w:gridCol w:w="571"/>
        <w:gridCol w:w="2440"/>
        <w:gridCol w:w="1525"/>
        <w:gridCol w:w="1413"/>
        <w:gridCol w:w="1842"/>
      </w:tblGrid>
      <w:tr w:rsidR="00793FF1" w:rsidRPr="00793FF1" w:rsidTr="00BD793E">
        <w:trPr>
          <w:trHeight w:val="600"/>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w:eastAsia="Times New Roman" w:hAnsi="Arial" w:cs="Arial"/>
                <w:b/>
                <w:bCs/>
                <w:sz w:val="20"/>
                <w:szCs w:val="20"/>
              </w:rPr>
            </w:pPr>
            <w:r w:rsidRPr="00793FF1">
              <w:rPr>
                <w:rFonts w:ascii="Arial" w:eastAsia="Times New Roman" w:hAnsi="Arial" w:cs="Arial"/>
                <w:b/>
                <w:bCs/>
                <w:sz w:val="20"/>
                <w:szCs w:val="20"/>
              </w:rPr>
              <w:t>No.</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w:eastAsia="Times New Roman" w:hAnsi="Arial" w:cs="Arial"/>
                <w:b/>
                <w:bCs/>
                <w:sz w:val="20"/>
                <w:szCs w:val="20"/>
              </w:rPr>
            </w:pPr>
            <w:r w:rsidRPr="00793FF1">
              <w:rPr>
                <w:rFonts w:ascii="Arial" w:eastAsia="Times New Roman" w:hAnsi="Arial" w:cs="Arial"/>
                <w:b/>
                <w:bCs/>
                <w:sz w:val="20"/>
                <w:szCs w:val="20"/>
              </w:rPr>
              <w:t xml:space="preserve">Indikator Makro </w:t>
            </w:r>
          </w:p>
        </w:tc>
        <w:tc>
          <w:tcPr>
            <w:tcW w:w="1525" w:type="dxa"/>
            <w:tcBorders>
              <w:top w:val="single" w:sz="4" w:space="0" w:color="auto"/>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w:eastAsia="Times New Roman" w:hAnsi="Arial" w:cs="Arial"/>
                <w:b/>
                <w:bCs/>
                <w:sz w:val="20"/>
                <w:szCs w:val="20"/>
              </w:rPr>
            </w:pPr>
            <w:r w:rsidRPr="00793FF1">
              <w:rPr>
                <w:rFonts w:ascii="Arial" w:eastAsia="Times New Roman" w:hAnsi="Arial" w:cs="Arial"/>
                <w:b/>
                <w:bCs/>
                <w:sz w:val="20"/>
                <w:szCs w:val="20"/>
              </w:rPr>
              <w:t>Target RPJMD Tahun 2021</w:t>
            </w:r>
          </w:p>
        </w:tc>
        <w:tc>
          <w:tcPr>
            <w:tcW w:w="1413" w:type="dxa"/>
            <w:tcBorders>
              <w:top w:val="single" w:sz="4" w:space="0" w:color="auto"/>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w:eastAsia="Times New Roman" w:hAnsi="Arial" w:cs="Arial"/>
                <w:b/>
                <w:bCs/>
                <w:sz w:val="20"/>
                <w:szCs w:val="20"/>
              </w:rPr>
            </w:pPr>
            <w:r w:rsidRPr="00793FF1">
              <w:rPr>
                <w:rFonts w:ascii="Arial" w:eastAsia="Times New Roman" w:hAnsi="Arial" w:cs="Arial"/>
                <w:b/>
                <w:bCs/>
                <w:sz w:val="20"/>
                <w:szCs w:val="20"/>
              </w:rPr>
              <w:t>Target RKPD Tahun 2021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w:eastAsia="Times New Roman" w:hAnsi="Arial" w:cs="Arial"/>
                <w:b/>
                <w:bCs/>
                <w:sz w:val="20"/>
                <w:szCs w:val="20"/>
              </w:rPr>
            </w:pPr>
            <w:r w:rsidRPr="00793FF1">
              <w:rPr>
                <w:rFonts w:ascii="Arial" w:eastAsia="Times New Roman" w:hAnsi="Arial" w:cs="Arial"/>
                <w:b/>
                <w:bCs/>
                <w:sz w:val="20"/>
                <w:szCs w:val="20"/>
              </w:rPr>
              <w:t>Target Perubahan RKPD Tahun 2021</w:t>
            </w:r>
          </w:p>
        </w:tc>
      </w:tr>
      <w:tr w:rsidR="00793FF1" w:rsidRPr="00793FF1" w:rsidTr="00BD793E">
        <w:trPr>
          <w:trHeight w:val="570"/>
          <w:jc w:val="center"/>
        </w:trPr>
        <w:tc>
          <w:tcPr>
            <w:tcW w:w="571" w:type="dxa"/>
            <w:tcBorders>
              <w:top w:val="nil"/>
              <w:left w:val="single" w:sz="4" w:space="0" w:color="auto"/>
              <w:bottom w:val="single" w:sz="4" w:space="0" w:color="auto"/>
              <w:right w:val="single" w:sz="4" w:space="0" w:color="auto"/>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1</w:t>
            </w:r>
          </w:p>
        </w:tc>
        <w:tc>
          <w:tcPr>
            <w:tcW w:w="2440" w:type="dxa"/>
            <w:tcBorders>
              <w:top w:val="nil"/>
              <w:left w:val="nil"/>
              <w:bottom w:val="single" w:sz="4" w:space="0" w:color="auto"/>
              <w:right w:val="single" w:sz="4" w:space="0" w:color="auto"/>
            </w:tcBorders>
            <w:shd w:val="clear" w:color="D9E1F2" w:fill="D9E1F2"/>
            <w:vAlign w:val="center"/>
            <w:hideMark/>
          </w:tcPr>
          <w:p w:rsidR="006536A5" w:rsidRPr="00793FF1" w:rsidRDefault="006536A5" w:rsidP="00BD793E">
            <w:pPr>
              <w:spacing w:after="0" w:line="240" w:lineRule="auto"/>
              <w:rPr>
                <w:rFonts w:ascii="Arial" w:eastAsia="Times New Roman" w:hAnsi="Arial" w:cs="Arial"/>
                <w:sz w:val="20"/>
                <w:szCs w:val="20"/>
              </w:rPr>
            </w:pPr>
            <w:r w:rsidRPr="00793FF1">
              <w:rPr>
                <w:rFonts w:ascii="Arial" w:eastAsia="Times New Roman" w:hAnsi="Arial" w:cs="Arial"/>
                <w:sz w:val="20"/>
                <w:szCs w:val="20"/>
              </w:rPr>
              <w:t>Pertumbuhan Ekonomi (%)</w:t>
            </w:r>
          </w:p>
        </w:tc>
        <w:tc>
          <w:tcPr>
            <w:tcW w:w="1525" w:type="dxa"/>
            <w:tcBorders>
              <w:top w:val="nil"/>
              <w:left w:val="nil"/>
              <w:bottom w:val="single" w:sz="4" w:space="0" w:color="auto"/>
              <w:right w:val="single" w:sz="4" w:space="0" w:color="auto"/>
            </w:tcBorders>
            <w:shd w:val="clear" w:color="D9E1F2" w:fill="D9E1F2"/>
            <w:vAlign w:val="center"/>
            <w:hideMark/>
          </w:tcPr>
          <w:p w:rsidR="006536A5" w:rsidRPr="00793FF1" w:rsidRDefault="008A5D7E"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8,40</w:t>
            </w:r>
          </w:p>
        </w:tc>
        <w:tc>
          <w:tcPr>
            <w:tcW w:w="1413" w:type="dxa"/>
            <w:tcBorders>
              <w:top w:val="nil"/>
              <w:left w:val="nil"/>
              <w:bottom w:val="single" w:sz="4" w:space="0" w:color="auto"/>
              <w:right w:val="single" w:sz="4" w:space="0" w:color="auto"/>
            </w:tcBorders>
            <w:shd w:val="clear" w:color="D9E1F2" w:fill="D9E1F2"/>
            <w:vAlign w:val="center"/>
            <w:hideMark/>
          </w:tcPr>
          <w:p w:rsidR="006536A5" w:rsidRPr="00793FF1" w:rsidRDefault="00F3373B"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7,48</w:t>
            </w:r>
          </w:p>
        </w:tc>
        <w:tc>
          <w:tcPr>
            <w:tcW w:w="1842" w:type="dxa"/>
            <w:tcBorders>
              <w:top w:val="nil"/>
              <w:left w:val="nil"/>
              <w:bottom w:val="single" w:sz="4" w:space="0" w:color="auto"/>
              <w:right w:val="single" w:sz="4" w:space="0" w:color="auto"/>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3,10 - 4,50</w:t>
            </w:r>
          </w:p>
        </w:tc>
      </w:tr>
      <w:tr w:rsidR="00793FF1" w:rsidRPr="00793FF1" w:rsidTr="00BD793E">
        <w:trPr>
          <w:trHeight w:val="57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2</w:t>
            </w:r>
          </w:p>
        </w:tc>
        <w:tc>
          <w:tcPr>
            <w:tcW w:w="2440"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w:eastAsia="Times New Roman" w:hAnsi="Arial" w:cs="Arial"/>
                <w:sz w:val="20"/>
                <w:szCs w:val="20"/>
              </w:rPr>
            </w:pPr>
            <w:r w:rsidRPr="00793FF1">
              <w:rPr>
                <w:rFonts w:ascii="Arial" w:eastAsia="Times New Roman" w:hAnsi="Arial" w:cs="Arial"/>
                <w:sz w:val="20"/>
                <w:szCs w:val="20"/>
              </w:rPr>
              <w:t>PDRB per Kapita (ADHB) (Juta)</w:t>
            </w:r>
          </w:p>
        </w:tc>
        <w:tc>
          <w:tcPr>
            <w:tcW w:w="1525" w:type="dxa"/>
            <w:tcBorders>
              <w:top w:val="nil"/>
              <w:left w:val="nil"/>
              <w:bottom w:val="single" w:sz="4" w:space="0" w:color="auto"/>
              <w:right w:val="single" w:sz="4" w:space="0" w:color="auto"/>
            </w:tcBorders>
            <w:shd w:val="clear" w:color="auto" w:fill="auto"/>
            <w:vAlign w:val="center"/>
            <w:hideMark/>
          </w:tcPr>
          <w:p w:rsidR="006536A5" w:rsidRPr="00793FF1" w:rsidRDefault="008A5D7E"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42,50</w:t>
            </w:r>
          </w:p>
        </w:tc>
        <w:tc>
          <w:tcPr>
            <w:tcW w:w="1413" w:type="dxa"/>
            <w:tcBorders>
              <w:top w:val="nil"/>
              <w:left w:val="nil"/>
              <w:bottom w:val="single" w:sz="4" w:space="0" w:color="auto"/>
              <w:right w:val="single" w:sz="4" w:space="0" w:color="auto"/>
            </w:tcBorders>
            <w:shd w:val="clear" w:color="auto" w:fill="auto"/>
            <w:vAlign w:val="center"/>
            <w:hideMark/>
          </w:tcPr>
          <w:p w:rsidR="006536A5" w:rsidRPr="00793FF1" w:rsidRDefault="00F3373B"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42,5</w:t>
            </w:r>
            <w:r w:rsidR="00AC4F69">
              <w:rPr>
                <w:rFonts w:ascii="Arial" w:eastAsia="Times New Roman" w:hAnsi="Arial" w:cs="Arial"/>
                <w:sz w:val="20"/>
                <w:szCs w:val="20"/>
              </w:rPr>
              <w:t>0</w:t>
            </w:r>
            <w:bookmarkStart w:id="1" w:name="_GoBack"/>
            <w:bookmarkEnd w:id="1"/>
          </w:p>
        </w:tc>
        <w:tc>
          <w:tcPr>
            <w:tcW w:w="1842"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46,98</w:t>
            </w:r>
          </w:p>
        </w:tc>
      </w:tr>
      <w:tr w:rsidR="00793FF1" w:rsidRPr="00793FF1" w:rsidTr="00BD793E">
        <w:trPr>
          <w:trHeight w:val="570"/>
          <w:jc w:val="center"/>
        </w:trPr>
        <w:tc>
          <w:tcPr>
            <w:tcW w:w="571" w:type="dxa"/>
            <w:tcBorders>
              <w:top w:val="nil"/>
              <w:left w:val="single" w:sz="4" w:space="0" w:color="auto"/>
              <w:bottom w:val="single" w:sz="4" w:space="0" w:color="auto"/>
              <w:right w:val="single" w:sz="4" w:space="0" w:color="auto"/>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3</w:t>
            </w:r>
          </w:p>
        </w:tc>
        <w:tc>
          <w:tcPr>
            <w:tcW w:w="2440" w:type="dxa"/>
            <w:tcBorders>
              <w:top w:val="nil"/>
              <w:left w:val="nil"/>
              <w:bottom w:val="single" w:sz="4" w:space="0" w:color="auto"/>
              <w:right w:val="single" w:sz="4" w:space="0" w:color="auto"/>
            </w:tcBorders>
            <w:shd w:val="clear" w:color="D9E1F2" w:fill="D9E1F2"/>
            <w:vAlign w:val="center"/>
            <w:hideMark/>
          </w:tcPr>
          <w:p w:rsidR="006536A5" w:rsidRPr="00793FF1" w:rsidRDefault="006536A5" w:rsidP="00BD793E">
            <w:pPr>
              <w:spacing w:after="0" w:line="240" w:lineRule="auto"/>
              <w:rPr>
                <w:rFonts w:ascii="Arial" w:eastAsia="Times New Roman" w:hAnsi="Arial" w:cs="Arial"/>
                <w:sz w:val="20"/>
                <w:szCs w:val="20"/>
              </w:rPr>
            </w:pPr>
            <w:r w:rsidRPr="00793FF1">
              <w:rPr>
                <w:rFonts w:ascii="Arial" w:eastAsia="Times New Roman" w:hAnsi="Arial" w:cs="Arial"/>
                <w:sz w:val="20"/>
                <w:szCs w:val="20"/>
              </w:rPr>
              <w:t>Tingkat Pengangguran Terbuka (%)</w:t>
            </w:r>
          </w:p>
        </w:tc>
        <w:tc>
          <w:tcPr>
            <w:tcW w:w="1525" w:type="dxa"/>
            <w:tcBorders>
              <w:top w:val="nil"/>
              <w:left w:val="nil"/>
              <w:bottom w:val="single" w:sz="4" w:space="0" w:color="auto"/>
              <w:right w:val="single" w:sz="4" w:space="0" w:color="auto"/>
            </w:tcBorders>
            <w:shd w:val="clear" w:color="D9E1F2" w:fill="D9E1F2"/>
            <w:vAlign w:val="center"/>
            <w:hideMark/>
          </w:tcPr>
          <w:p w:rsidR="006536A5" w:rsidRPr="00793FF1" w:rsidRDefault="008A5D7E"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0,50</w:t>
            </w:r>
          </w:p>
        </w:tc>
        <w:tc>
          <w:tcPr>
            <w:tcW w:w="1413" w:type="dxa"/>
            <w:tcBorders>
              <w:top w:val="nil"/>
              <w:left w:val="nil"/>
              <w:bottom w:val="single" w:sz="4" w:space="0" w:color="auto"/>
              <w:right w:val="single" w:sz="4" w:space="0" w:color="auto"/>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1,28</w:t>
            </w:r>
          </w:p>
        </w:tc>
        <w:tc>
          <w:tcPr>
            <w:tcW w:w="1842" w:type="dxa"/>
            <w:tcBorders>
              <w:top w:val="nil"/>
              <w:left w:val="nil"/>
              <w:bottom w:val="single" w:sz="4" w:space="0" w:color="auto"/>
              <w:right w:val="single" w:sz="4" w:space="0" w:color="auto"/>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2,20</w:t>
            </w:r>
          </w:p>
        </w:tc>
      </w:tr>
      <w:tr w:rsidR="00793FF1" w:rsidRPr="00793FF1" w:rsidTr="00BD793E">
        <w:trPr>
          <w:trHeight w:val="405"/>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4</w:t>
            </w:r>
          </w:p>
        </w:tc>
        <w:tc>
          <w:tcPr>
            <w:tcW w:w="2440"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w:eastAsia="Times New Roman" w:hAnsi="Arial" w:cs="Arial"/>
                <w:sz w:val="20"/>
                <w:szCs w:val="20"/>
              </w:rPr>
            </w:pPr>
            <w:r w:rsidRPr="00793FF1">
              <w:rPr>
                <w:rFonts w:ascii="Arial" w:eastAsia="Times New Roman" w:hAnsi="Arial" w:cs="Arial"/>
                <w:sz w:val="20"/>
                <w:szCs w:val="20"/>
              </w:rPr>
              <w:t>Tingkat Kemiskinan (%)</w:t>
            </w:r>
          </w:p>
        </w:tc>
        <w:tc>
          <w:tcPr>
            <w:tcW w:w="1525" w:type="dxa"/>
            <w:tcBorders>
              <w:top w:val="nil"/>
              <w:left w:val="nil"/>
              <w:bottom w:val="single" w:sz="4" w:space="0" w:color="auto"/>
              <w:right w:val="single" w:sz="4" w:space="0" w:color="auto"/>
            </w:tcBorders>
            <w:shd w:val="clear" w:color="auto" w:fill="auto"/>
            <w:vAlign w:val="center"/>
            <w:hideMark/>
          </w:tcPr>
          <w:p w:rsidR="006536A5" w:rsidRPr="00793FF1" w:rsidRDefault="008A5D7E"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7,65</w:t>
            </w:r>
          </w:p>
        </w:tc>
        <w:tc>
          <w:tcPr>
            <w:tcW w:w="1413"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13,09</w:t>
            </w:r>
          </w:p>
        </w:tc>
        <w:tc>
          <w:tcPr>
            <w:tcW w:w="1842"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12,28</w:t>
            </w:r>
          </w:p>
        </w:tc>
      </w:tr>
      <w:tr w:rsidR="00793FF1" w:rsidRPr="00793FF1" w:rsidTr="00BD793E">
        <w:trPr>
          <w:trHeight w:val="570"/>
          <w:jc w:val="center"/>
        </w:trPr>
        <w:tc>
          <w:tcPr>
            <w:tcW w:w="571" w:type="dxa"/>
            <w:tcBorders>
              <w:top w:val="nil"/>
              <w:left w:val="single" w:sz="4" w:space="0" w:color="auto"/>
              <w:bottom w:val="single" w:sz="4" w:space="0" w:color="auto"/>
              <w:right w:val="single" w:sz="4" w:space="0" w:color="auto"/>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5</w:t>
            </w:r>
          </w:p>
        </w:tc>
        <w:tc>
          <w:tcPr>
            <w:tcW w:w="2440" w:type="dxa"/>
            <w:tcBorders>
              <w:top w:val="nil"/>
              <w:left w:val="nil"/>
              <w:bottom w:val="single" w:sz="4" w:space="0" w:color="auto"/>
              <w:right w:val="single" w:sz="4" w:space="0" w:color="auto"/>
            </w:tcBorders>
            <w:shd w:val="clear" w:color="D9E1F2" w:fill="D9E1F2"/>
            <w:vAlign w:val="center"/>
            <w:hideMark/>
          </w:tcPr>
          <w:p w:rsidR="006536A5" w:rsidRPr="00793FF1" w:rsidRDefault="006536A5" w:rsidP="00BD793E">
            <w:pPr>
              <w:spacing w:after="0" w:line="240" w:lineRule="auto"/>
              <w:rPr>
                <w:rFonts w:ascii="Arial" w:eastAsia="Times New Roman" w:hAnsi="Arial" w:cs="Arial"/>
                <w:sz w:val="20"/>
                <w:szCs w:val="20"/>
              </w:rPr>
            </w:pPr>
            <w:r w:rsidRPr="00793FF1">
              <w:rPr>
                <w:rFonts w:ascii="Arial" w:eastAsia="Times New Roman" w:hAnsi="Arial" w:cs="Arial"/>
                <w:sz w:val="20"/>
                <w:szCs w:val="20"/>
              </w:rPr>
              <w:t>Indeks Pembangunan Manusia (nilai)</w:t>
            </w:r>
          </w:p>
        </w:tc>
        <w:tc>
          <w:tcPr>
            <w:tcW w:w="1525" w:type="dxa"/>
            <w:tcBorders>
              <w:top w:val="nil"/>
              <w:left w:val="nil"/>
              <w:bottom w:val="single" w:sz="4" w:space="0" w:color="auto"/>
              <w:right w:val="single" w:sz="4" w:space="0" w:color="auto"/>
            </w:tcBorders>
            <w:shd w:val="clear" w:color="D9E1F2" w:fill="D9E1F2"/>
            <w:vAlign w:val="center"/>
            <w:hideMark/>
          </w:tcPr>
          <w:p w:rsidR="006536A5" w:rsidRPr="00793FF1" w:rsidRDefault="008A5D7E"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71,00</w:t>
            </w:r>
          </w:p>
        </w:tc>
        <w:tc>
          <w:tcPr>
            <w:tcW w:w="1413" w:type="dxa"/>
            <w:tcBorders>
              <w:top w:val="nil"/>
              <w:left w:val="nil"/>
              <w:bottom w:val="single" w:sz="4" w:space="0" w:color="auto"/>
              <w:right w:val="single" w:sz="4" w:space="0" w:color="auto"/>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68,22</w:t>
            </w:r>
          </w:p>
        </w:tc>
        <w:tc>
          <w:tcPr>
            <w:tcW w:w="1842" w:type="dxa"/>
            <w:tcBorders>
              <w:top w:val="nil"/>
              <w:left w:val="nil"/>
              <w:bottom w:val="single" w:sz="4" w:space="0" w:color="auto"/>
              <w:right w:val="single" w:sz="4" w:space="0" w:color="auto"/>
            </w:tcBorders>
            <w:shd w:val="clear" w:color="D9E1F2" w:fill="D9E1F2"/>
            <w:vAlign w:val="center"/>
            <w:hideMark/>
          </w:tcPr>
          <w:p w:rsidR="006536A5" w:rsidRPr="00793FF1" w:rsidRDefault="006536A5"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68,22</w:t>
            </w:r>
          </w:p>
        </w:tc>
      </w:tr>
      <w:tr w:rsidR="00793FF1" w:rsidRPr="00793FF1" w:rsidTr="00BD793E">
        <w:trPr>
          <w:trHeight w:val="406"/>
          <w:jc w:val="center"/>
        </w:trPr>
        <w:tc>
          <w:tcPr>
            <w:tcW w:w="571" w:type="dxa"/>
            <w:tcBorders>
              <w:top w:val="nil"/>
              <w:left w:val="single" w:sz="4" w:space="0" w:color="auto"/>
              <w:bottom w:val="single" w:sz="4" w:space="0" w:color="4472C4"/>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6</w:t>
            </w:r>
          </w:p>
        </w:tc>
        <w:tc>
          <w:tcPr>
            <w:tcW w:w="2440" w:type="dxa"/>
            <w:tcBorders>
              <w:top w:val="nil"/>
              <w:left w:val="single" w:sz="4" w:space="0" w:color="auto"/>
              <w:bottom w:val="single" w:sz="4" w:space="0" w:color="4472C4"/>
              <w:right w:val="single" w:sz="4" w:space="0" w:color="auto"/>
            </w:tcBorders>
            <w:shd w:val="clear" w:color="auto" w:fill="auto"/>
            <w:vAlign w:val="center"/>
            <w:hideMark/>
          </w:tcPr>
          <w:p w:rsidR="006536A5" w:rsidRPr="00793FF1" w:rsidRDefault="006536A5" w:rsidP="00BD793E">
            <w:pPr>
              <w:spacing w:after="0" w:line="240" w:lineRule="auto"/>
              <w:rPr>
                <w:rFonts w:ascii="Arial" w:eastAsia="Times New Roman" w:hAnsi="Arial" w:cs="Arial"/>
                <w:sz w:val="20"/>
                <w:szCs w:val="20"/>
              </w:rPr>
            </w:pPr>
            <w:r w:rsidRPr="00793FF1">
              <w:rPr>
                <w:rFonts w:ascii="Arial" w:eastAsia="Times New Roman" w:hAnsi="Arial" w:cs="Arial"/>
                <w:sz w:val="20"/>
                <w:szCs w:val="20"/>
              </w:rPr>
              <w:t>Gini Rasio (nilai)</w:t>
            </w:r>
          </w:p>
        </w:tc>
        <w:tc>
          <w:tcPr>
            <w:tcW w:w="1525" w:type="dxa"/>
            <w:tcBorders>
              <w:top w:val="nil"/>
              <w:left w:val="single" w:sz="4" w:space="0" w:color="auto"/>
              <w:bottom w:val="single" w:sz="4" w:space="0" w:color="4472C4"/>
              <w:right w:val="single" w:sz="4" w:space="0" w:color="auto"/>
            </w:tcBorders>
            <w:shd w:val="clear" w:color="auto" w:fill="auto"/>
            <w:vAlign w:val="center"/>
            <w:hideMark/>
          </w:tcPr>
          <w:p w:rsidR="006536A5" w:rsidRPr="00793FF1" w:rsidRDefault="008A5D7E"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 xml:space="preserve"> -</w:t>
            </w:r>
          </w:p>
        </w:tc>
        <w:tc>
          <w:tcPr>
            <w:tcW w:w="1413" w:type="dxa"/>
            <w:tcBorders>
              <w:top w:val="nil"/>
              <w:left w:val="single" w:sz="4" w:space="0" w:color="auto"/>
              <w:bottom w:val="single" w:sz="4" w:space="0" w:color="4472C4"/>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0,298</w:t>
            </w:r>
          </w:p>
        </w:tc>
        <w:tc>
          <w:tcPr>
            <w:tcW w:w="1842" w:type="dxa"/>
            <w:tcBorders>
              <w:top w:val="nil"/>
              <w:left w:val="single" w:sz="4" w:space="0" w:color="auto"/>
              <w:bottom w:val="single" w:sz="4" w:space="0" w:color="4472C4"/>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w:eastAsia="Times New Roman" w:hAnsi="Arial" w:cs="Arial"/>
                <w:sz w:val="20"/>
                <w:szCs w:val="20"/>
              </w:rPr>
            </w:pPr>
            <w:r w:rsidRPr="00793FF1">
              <w:rPr>
                <w:rFonts w:ascii="Arial" w:eastAsia="Times New Roman" w:hAnsi="Arial" w:cs="Arial"/>
                <w:sz w:val="20"/>
                <w:szCs w:val="20"/>
              </w:rPr>
              <w:t>0,345</w:t>
            </w:r>
          </w:p>
        </w:tc>
      </w:tr>
    </w:tbl>
    <w:p w:rsidR="006536A5" w:rsidRPr="00793FF1" w:rsidRDefault="006536A5" w:rsidP="006536A5">
      <w:pPr>
        <w:tabs>
          <w:tab w:val="left" w:pos="851"/>
        </w:tabs>
        <w:spacing w:before="120" w:after="120" w:line="360" w:lineRule="auto"/>
        <w:jc w:val="both"/>
        <w:rPr>
          <w:rFonts w:ascii="Arial" w:hAnsi="Arial" w:cs="Arial"/>
          <w:sz w:val="24"/>
          <w:szCs w:val="24"/>
        </w:rPr>
      </w:pPr>
      <w:r w:rsidRPr="00793FF1">
        <w:rPr>
          <w:rFonts w:ascii="Arial" w:hAnsi="Arial" w:cs="Arial"/>
          <w:sz w:val="24"/>
          <w:szCs w:val="24"/>
        </w:rPr>
        <w:t xml:space="preserve">   </w:t>
      </w:r>
      <w:proofErr w:type="gramStart"/>
      <w:r w:rsidRPr="00793FF1">
        <w:rPr>
          <w:rFonts w:ascii="Arial" w:hAnsi="Arial" w:cs="Arial"/>
          <w:i/>
          <w:sz w:val="16"/>
          <w:szCs w:val="16"/>
        </w:rPr>
        <w:t>Sumber :</w:t>
      </w:r>
      <w:proofErr w:type="gramEnd"/>
      <w:r w:rsidRPr="00793FF1">
        <w:rPr>
          <w:rFonts w:ascii="Arial" w:hAnsi="Arial" w:cs="Arial"/>
          <w:i/>
          <w:sz w:val="16"/>
          <w:szCs w:val="16"/>
        </w:rPr>
        <w:t xml:space="preserve"> Bappelitbangda Kab.Kepulauan Selayar, 2021.</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Dalam pencapaian sasaran indikator makro ekonomi daerah, pemerintah daerah Kepulauan Selayar selain berperan secara langsung dalam implementasi program pembangunan yang teralokasikan dalam APBD Kabupaten Kepulauan Selayar, secara tidak langsung juga dituntut untuk menciptakan iklim yang kondusif bagi pelaku ekonomi lainnya dalam menjalankan aktivitas usahanya di Kepulauan Selayar. Hal ini dimaksudkan agar masing-masing memberikan kontribusi pada pencapaian sasaran makro ekonomi Kepulauan Selayar 2021, mulai dari pertumbuhan ekonomi, PDRB per kapita, persentase penduduk miskin, indeks pembangunan manusia yang meningkat, tingkat pengangguran yang ditekan peningkatannya, dan kesenjangan yang diukur dengan gini rasio yang semakin kecil. Dalam perspektif itulah, arah kebijakan perekonomian daerah sangat diperlukan, bukan hanya untuk sektor pemerintah, tetapi yang jauh lebih penting untuk menjadi arahan bagi pelaku ekonomi daerah lainnya di Kepulauan Selayar. </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Perekonomian Kepulauan Selayar pada perubahan tahun 2021 dititikberatkan pada menekan terjadinya kontraksi pertumbuhan ekonomi. Kondisi ini </w:t>
      </w:r>
      <w:proofErr w:type="gramStart"/>
      <w:r w:rsidRPr="00793FF1">
        <w:rPr>
          <w:rFonts w:ascii="Arial" w:hAnsi="Arial" w:cs="Arial"/>
          <w:sz w:val="24"/>
          <w:szCs w:val="24"/>
          <w:lang w:val="en-ID"/>
        </w:rPr>
        <w:t>akan</w:t>
      </w:r>
      <w:proofErr w:type="gramEnd"/>
      <w:r w:rsidRPr="00793FF1">
        <w:rPr>
          <w:rFonts w:ascii="Arial" w:hAnsi="Arial" w:cs="Arial"/>
          <w:sz w:val="24"/>
          <w:szCs w:val="24"/>
          <w:lang w:val="en-ID"/>
        </w:rPr>
        <w:t xml:space="preserve"> tercapai dengan upaya sebagai berikut:</w:t>
      </w:r>
    </w:p>
    <w:p w:rsidR="006536A5" w:rsidRPr="00793FF1" w:rsidRDefault="006536A5" w:rsidP="00611D25">
      <w:pPr>
        <w:pStyle w:val="ListParagraph"/>
        <w:numPr>
          <w:ilvl w:val="0"/>
          <w:numId w:val="68"/>
        </w:numPr>
        <w:spacing w:after="0" w:line="360" w:lineRule="auto"/>
        <w:ind w:left="426" w:hanging="426"/>
        <w:jc w:val="both"/>
        <w:rPr>
          <w:rFonts w:ascii="Arial" w:hAnsi="Arial" w:cs="Arial"/>
          <w:sz w:val="24"/>
          <w:szCs w:val="24"/>
          <w:lang w:val="en-ID"/>
        </w:rPr>
      </w:pPr>
      <w:r w:rsidRPr="00793FF1">
        <w:rPr>
          <w:rFonts w:ascii="Arial" w:hAnsi="Arial" w:cs="Arial"/>
          <w:sz w:val="24"/>
          <w:szCs w:val="24"/>
          <w:lang w:val="en-ID"/>
        </w:rPr>
        <w:t xml:space="preserve">Memberikan kemudahan berusaha dan stimulus ekonomi (keringanan pajak dan biaya perijinan, pemberian bantuan, dll) bagi </w:t>
      </w:r>
      <w:r w:rsidRPr="00793FF1">
        <w:rPr>
          <w:rFonts w:ascii="Arial" w:hAnsi="Arial" w:cs="Arial"/>
          <w:bCs/>
          <w:iCs/>
          <w:sz w:val="24"/>
          <w:szCs w:val="24"/>
          <w:lang w:val="en-ID"/>
        </w:rPr>
        <w:t>UMKM;</w:t>
      </w:r>
    </w:p>
    <w:p w:rsidR="006536A5" w:rsidRPr="00793FF1" w:rsidRDefault="006536A5" w:rsidP="00611D25">
      <w:pPr>
        <w:pStyle w:val="ListParagraph"/>
        <w:numPr>
          <w:ilvl w:val="0"/>
          <w:numId w:val="68"/>
        </w:numPr>
        <w:spacing w:after="0" w:line="360" w:lineRule="auto"/>
        <w:ind w:left="426" w:hanging="426"/>
        <w:jc w:val="both"/>
        <w:rPr>
          <w:rFonts w:ascii="Arial" w:hAnsi="Arial" w:cs="Arial"/>
          <w:sz w:val="24"/>
          <w:szCs w:val="24"/>
          <w:lang w:val="en-ID"/>
        </w:rPr>
      </w:pPr>
      <w:r w:rsidRPr="00793FF1">
        <w:rPr>
          <w:rFonts w:ascii="Arial" w:hAnsi="Arial" w:cs="Arial"/>
          <w:sz w:val="24"/>
          <w:szCs w:val="24"/>
          <w:lang w:val="en-ID"/>
        </w:rPr>
        <w:lastRenderedPageBreak/>
        <w:t xml:space="preserve">Mengembangkan ekonomi kerakyatan dengan memberdayakan petani, nelayan serta pelaku usaha mikro dan kecil dalam rangka hilirisasi pertanian dan pariwisata; </w:t>
      </w:r>
    </w:p>
    <w:p w:rsidR="006536A5" w:rsidRPr="00793FF1" w:rsidRDefault="006536A5" w:rsidP="00611D25">
      <w:pPr>
        <w:pStyle w:val="ListParagraph"/>
        <w:numPr>
          <w:ilvl w:val="0"/>
          <w:numId w:val="68"/>
        </w:numPr>
        <w:spacing w:after="0" w:line="360" w:lineRule="auto"/>
        <w:ind w:left="426" w:hanging="426"/>
        <w:jc w:val="both"/>
        <w:rPr>
          <w:rFonts w:ascii="Arial" w:hAnsi="Arial" w:cs="Arial"/>
          <w:sz w:val="24"/>
          <w:szCs w:val="24"/>
          <w:lang w:val="en-ID"/>
        </w:rPr>
      </w:pPr>
      <w:r w:rsidRPr="00793FF1">
        <w:rPr>
          <w:rFonts w:ascii="Arial" w:hAnsi="Arial" w:cs="Arial"/>
          <w:sz w:val="24"/>
          <w:szCs w:val="24"/>
          <w:lang w:val="en-ID"/>
        </w:rPr>
        <w:t>Melaksanakan promosi dan mendorong investasi di seluruh bidang usaha baik industri barang maupun jasa termasuk ekonomi kreatif;</w:t>
      </w:r>
    </w:p>
    <w:p w:rsidR="006536A5" w:rsidRPr="00793FF1" w:rsidRDefault="006536A5" w:rsidP="00611D25">
      <w:pPr>
        <w:pStyle w:val="ListParagraph"/>
        <w:numPr>
          <w:ilvl w:val="0"/>
          <w:numId w:val="68"/>
        </w:numPr>
        <w:spacing w:after="0" w:line="360" w:lineRule="auto"/>
        <w:ind w:left="426" w:hanging="426"/>
        <w:jc w:val="both"/>
        <w:rPr>
          <w:rFonts w:ascii="Arial" w:hAnsi="Arial" w:cs="Arial"/>
          <w:sz w:val="24"/>
          <w:szCs w:val="24"/>
          <w:lang w:val="en-ID"/>
        </w:rPr>
      </w:pPr>
      <w:r w:rsidRPr="00793FF1">
        <w:rPr>
          <w:rFonts w:ascii="Arial" w:hAnsi="Arial" w:cs="Arial"/>
          <w:sz w:val="24"/>
          <w:szCs w:val="24"/>
          <w:lang w:val="en-ID"/>
        </w:rPr>
        <w:t>Meningkatkan kualitas pelayanan dasar (kesehatan, pendidikan, infrastruktur dsb);</w:t>
      </w:r>
    </w:p>
    <w:p w:rsidR="006536A5" w:rsidRPr="00793FF1" w:rsidRDefault="006536A5" w:rsidP="00611D25">
      <w:pPr>
        <w:pStyle w:val="ListParagraph"/>
        <w:numPr>
          <w:ilvl w:val="0"/>
          <w:numId w:val="68"/>
        </w:numPr>
        <w:spacing w:after="0" w:line="360" w:lineRule="auto"/>
        <w:ind w:left="426" w:hanging="426"/>
        <w:jc w:val="both"/>
        <w:rPr>
          <w:rFonts w:ascii="Arial" w:hAnsi="Arial" w:cs="Arial"/>
          <w:sz w:val="24"/>
          <w:szCs w:val="24"/>
          <w:lang w:val="en-ID"/>
        </w:rPr>
      </w:pPr>
      <w:r w:rsidRPr="00793FF1">
        <w:rPr>
          <w:rFonts w:ascii="Arial" w:hAnsi="Arial" w:cs="Arial"/>
          <w:sz w:val="24"/>
          <w:szCs w:val="24"/>
          <w:lang w:val="en-ID"/>
        </w:rPr>
        <w:t>Bersama-sama Pemerintah Desa memberdayakan keluarga miskin dalam rangka peningkatan pendapatan;</w:t>
      </w:r>
    </w:p>
    <w:p w:rsidR="006536A5" w:rsidRPr="00793FF1" w:rsidRDefault="006536A5" w:rsidP="00611D25">
      <w:pPr>
        <w:pStyle w:val="ListParagraph"/>
        <w:numPr>
          <w:ilvl w:val="0"/>
          <w:numId w:val="68"/>
        </w:numPr>
        <w:spacing w:after="0" w:line="360" w:lineRule="auto"/>
        <w:ind w:left="426" w:hanging="426"/>
        <w:jc w:val="both"/>
        <w:rPr>
          <w:rFonts w:ascii="Arial" w:hAnsi="Arial" w:cs="Arial"/>
          <w:sz w:val="24"/>
          <w:szCs w:val="24"/>
          <w:lang w:val="en-ID"/>
        </w:rPr>
      </w:pPr>
      <w:r w:rsidRPr="00793FF1">
        <w:rPr>
          <w:rFonts w:ascii="Arial" w:hAnsi="Arial" w:cs="Arial"/>
          <w:sz w:val="24"/>
          <w:szCs w:val="24"/>
          <w:lang w:val="en-ID"/>
        </w:rPr>
        <w:t>Mengembangkan ketenagakerjaan;</w:t>
      </w:r>
    </w:p>
    <w:p w:rsidR="006536A5" w:rsidRPr="00793FF1" w:rsidRDefault="006536A5" w:rsidP="00611D25">
      <w:pPr>
        <w:pStyle w:val="ListParagraph"/>
        <w:numPr>
          <w:ilvl w:val="0"/>
          <w:numId w:val="68"/>
        </w:numPr>
        <w:spacing w:after="0" w:line="360" w:lineRule="auto"/>
        <w:ind w:left="426" w:hanging="426"/>
        <w:jc w:val="both"/>
        <w:rPr>
          <w:rFonts w:ascii="Arial" w:hAnsi="Arial" w:cs="Arial"/>
          <w:sz w:val="24"/>
          <w:szCs w:val="24"/>
          <w:lang w:val="en-ID"/>
        </w:rPr>
      </w:pPr>
      <w:r w:rsidRPr="00793FF1">
        <w:rPr>
          <w:rFonts w:ascii="Arial" w:hAnsi="Arial" w:cs="Arial"/>
          <w:bCs/>
          <w:iCs/>
          <w:sz w:val="24"/>
          <w:szCs w:val="24"/>
          <w:lang w:val="en-ID"/>
        </w:rPr>
        <w:t>Meningkatkan infrastruktur jalan, irigasi, dan air bersih, termasuk infrastruktur perdesaan untuk kelancaran arus barang dan jasa dari pusat-pusat produksi ke pasar, dan mengefisienkan sebaran distribusi barang-barang konsumsi masyarakat sehingga diharapkan dapat menahan laju inflasi.</w:t>
      </w:r>
    </w:p>
    <w:p w:rsidR="006536A5" w:rsidRPr="00793FF1" w:rsidRDefault="006536A5" w:rsidP="00611D25">
      <w:pPr>
        <w:pStyle w:val="ListParagraph"/>
        <w:numPr>
          <w:ilvl w:val="0"/>
          <w:numId w:val="68"/>
        </w:numPr>
        <w:spacing w:after="240" w:line="360" w:lineRule="auto"/>
        <w:ind w:left="425" w:hanging="425"/>
        <w:jc w:val="both"/>
        <w:rPr>
          <w:rFonts w:ascii="Arial" w:hAnsi="Arial" w:cs="Arial"/>
          <w:sz w:val="24"/>
          <w:szCs w:val="24"/>
          <w:lang w:val="en-ID"/>
        </w:rPr>
      </w:pPr>
      <w:r w:rsidRPr="00793FF1">
        <w:rPr>
          <w:rFonts w:ascii="Arial" w:hAnsi="Arial" w:cs="Arial"/>
          <w:bCs/>
          <w:iCs/>
          <w:sz w:val="24"/>
          <w:szCs w:val="24"/>
          <w:lang w:val="en-ID"/>
        </w:rPr>
        <w:t>Mengoptimalkan penyaluran bantuan program gratis kepada masyarakat miskin.</w:t>
      </w:r>
    </w:p>
    <w:p w:rsidR="006536A5" w:rsidRPr="00793FF1" w:rsidRDefault="006536A5" w:rsidP="006536A5">
      <w:pPr>
        <w:pStyle w:val="ListParagraph"/>
        <w:spacing w:after="240" w:line="360" w:lineRule="auto"/>
        <w:ind w:left="425"/>
        <w:jc w:val="both"/>
        <w:rPr>
          <w:rFonts w:ascii="Arial" w:hAnsi="Arial" w:cs="Arial"/>
          <w:sz w:val="24"/>
          <w:szCs w:val="24"/>
          <w:lang w:val="en-ID"/>
        </w:rPr>
      </w:pPr>
    </w:p>
    <w:p w:rsidR="006536A5" w:rsidRPr="00793FF1" w:rsidRDefault="006536A5" w:rsidP="00611D25">
      <w:pPr>
        <w:pStyle w:val="ListParagraph"/>
        <w:numPr>
          <w:ilvl w:val="0"/>
          <w:numId w:val="58"/>
        </w:numPr>
        <w:tabs>
          <w:tab w:val="left" w:pos="851"/>
        </w:tabs>
        <w:spacing w:after="0" w:line="360" w:lineRule="auto"/>
        <w:ind w:left="284" w:hanging="284"/>
        <w:rPr>
          <w:rFonts w:ascii="Arial" w:hAnsi="Arial" w:cs="Arial"/>
          <w:b/>
          <w:sz w:val="24"/>
          <w:szCs w:val="24"/>
        </w:rPr>
      </w:pPr>
      <w:r w:rsidRPr="00793FF1">
        <w:rPr>
          <w:rFonts w:ascii="Arial" w:hAnsi="Arial" w:cs="Arial"/>
          <w:b/>
          <w:sz w:val="24"/>
          <w:szCs w:val="24"/>
        </w:rPr>
        <w:t>Arah Kebijakan Keuangan Daerah</w:t>
      </w:r>
    </w:p>
    <w:p w:rsidR="006536A5" w:rsidRPr="00793FF1" w:rsidRDefault="006536A5" w:rsidP="006536A5">
      <w:pPr>
        <w:tabs>
          <w:tab w:val="left" w:pos="851"/>
        </w:tabs>
        <w:spacing w:after="120" w:line="360" w:lineRule="auto"/>
        <w:jc w:val="both"/>
        <w:rPr>
          <w:rFonts w:ascii="Arial" w:hAnsi="Arial" w:cs="Arial"/>
          <w:sz w:val="24"/>
          <w:szCs w:val="24"/>
        </w:rPr>
      </w:pPr>
      <w:r w:rsidRPr="00793FF1">
        <w:rPr>
          <w:rFonts w:ascii="Arial" w:hAnsi="Arial" w:cs="Arial"/>
          <w:sz w:val="24"/>
          <w:szCs w:val="24"/>
        </w:rPr>
        <w:tab/>
        <w:t xml:space="preserve">Berdasarkan Pasal 1 angka 2 Peraturan Pemerintah Nomor 12 Tahun 2019 tentang Pengelolaan Keuangan Daerah, disebutkan bahwa pengelolaan keuangan daerah merupakan keseluruhan kegiatan yang meliputi perencanaan, penganggaran, pelaksanaan, penatausahaan, pelaporan, pertanggungiawaban, dan pengawasan keuangan daerah. </w:t>
      </w:r>
      <w:r w:rsidRPr="00793FF1">
        <w:rPr>
          <w:rFonts w:ascii="Arial" w:hAnsi="Arial" w:cs="Arial"/>
          <w:sz w:val="24"/>
          <w:szCs w:val="24"/>
          <w:lang w:val="id-ID"/>
        </w:rPr>
        <w:t xml:space="preserve">Uraian berikut ini terkait dengan kebijakan yang akan ditempuh </w:t>
      </w:r>
      <w:r w:rsidRPr="00793FF1">
        <w:rPr>
          <w:rFonts w:ascii="Arial" w:hAnsi="Arial" w:cs="Arial"/>
          <w:sz w:val="24"/>
          <w:szCs w:val="24"/>
        </w:rPr>
        <w:t>p</w:t>
      </w:r>
      <w:r w:rsidRPr="00793FF1">
        <w:rPr>
          <w:rFonts w:ascii="Arial" w:hAnsi="Arial" w:cs="Arial"/>
          <w:sz w:val="24"/>
          <w:szCs w:val="24"/>
          <w:lang w:val="id-ID"/>
        </w:rPr>
        <w:t xml:space="preserve">emerintah </w:t>
      </w:r>
      <w:r w:rsidRPr="00793FF1">
        <w:rPr>
          <w:rFonts w:ascii="Arial" w:hAnsi="Arial" w:cs="Arial"/>
          <w:sz w:val="24"/>
          <w:szCs w:val="24"/>
        </w:rPr>
        <w:t>d</w:t>
      </w:r>
      <w:r w:rsidRPr="00793FF1">
        <w:rPr>
          <w:rFonts w:ascii="Arial" w:hAnsi="Arial" w:cs="Arial"/>
          <w:sz w:val="24"/>
          <w:szCs w:val="24"/>
          <w:lang w:val="id-ID"/>
        </w:rPr>
        <w:t xml:space="preserve">aerah berkaitan dengan </w:t>
      </w:r>
      <w:r w:rsidRPr="00793FF1">
        <w:rPr>
          <w:rFonts w:ascii="Arial" w:hAnsi="Arial" w:cs="Arial"/>
          <w:sz w:val="24"/>
          <w:szCs w:val="24"/>
          <w:lang w:val="en-ID"/>
        </w:rPr>
        <w:t xml:space="preserve">arah kebijakan pengelolaan keuangan daerah yang terdiri dari </w:t>
      </w:r>
      <w:r w:rsidRPr="00793FF1">
        <w:rPr>
          <w:rFonts w:ascii="Arial" w:hAnsi="Arial" w:cs="Arial"/>
          <w:sz w:val="24"/>
          <w:szCs w:val="24"/>
        </w:rPr>
        <w:t xml:space="preserve">perubahan </w:t>
      </w:r>
      <w:r w:rsidRPr="00793FF1">
        <w:rPr>
          <w:rFonts w:ascii="Arial" w:hAnsi="Arial" w:cs="Arial"/>
          <w:sz w:val="24"/>
          <w:szCs w:val="24"/>
          <w:lang w:val="id-ID"/>
        </w:rPr>
        <w:t>pendapatan daerah,</w:t>
      </w:r>
      <w:r w:rsidRPr="00793FF1">
        <w:rPr>
          <w:rFonts w:ascii="Arial" w:hAnsi="Arial" w:cs="Arial"/>
          <w:sz w:val="24"/>
          <w:szCs w:val="24"/>
          <w:lang w:val="en-ID"/>
        </w:rPr>
        <w:t xml:space="preserve"> </w:t>
      </w:r>
      <w:r w:rsidRPr="00793FF1">
        <w:rPr>
          <w:rFonts w:ascii="Arial" w:hAnsi="Arial" w:cs="Arial"/>
          <w:sz w:val="24"/>
          <w:szCs w:val="24"/>
          <w:lang w:val="id-ID"/>
        </w:rPr>
        <w:t>belanja daerah</w:t>
      </w:r>
      <w:r w:rsidRPr="00793FF1">
        <w:rPr>
          <w:rFonts w:ascii="Arial" w:hAnsi="Arial" w:cs="Arial"/>
          <w:sz w:val="24"/>
          <w:szCs w:val="24"/>
        </w:rPr>
        <w:t xml:space="preserve"> dan </w:t>
      </w:r>
      <w:r w:rsidRPr="00793FF1">
        <w:rPr>
          <w:rFonts w:ascii="Arial" w:hAnsi="Arial" w:cs="Arial"/>
          <w:sz w:val="24"/>
          <w:szCs w:val="24"/>
          <w:lang w:val="id-ID"/>
        </w:rPr>
        <w:t xml:space="preserve"> pembiayaan daerah</w:t>
      </w:r>
      <w:r w:rsidRPr="00793FF1">
        <w:rPr>
          <w:rFonts w:ascii="Arial" w:hAnsi="Arial" w:cs="Arial"/>
          <w:sz w:val="24"/>
          <w:szCs w:val="24"/>
        </w:rPr>
        <w:t>.</w:t>
      </w:r>
    </w:p>
    <w:p w:rsidR="006536A5" w:rsidRPr="00793FF1" w:rsidRDefault="006536A5" w:rsidP="00611D25">
      <w:pPr>
        <w:pStyle w:val="ListParagraph"/>
        <w:numPr>
          <w:ilvl w:val="0"/>
          <w:numId w:val="63"/>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rPr>
        <w:t>Perubahan Kebijakan Pendapatan Daerah</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Pada tahun 2021 ekspektasi dampak pandemi Covid-19 yang semula diperkirakan membaik dengan harapan perekonomian juga semakin meningkat dan menuju tahap normal pada kenyataannya belum sesuai dengan yang diharapkan. Pada triwulan III tahun 2021, jumlah kasus Covid-19 kembali meningkat dan </w:t>
      </w:r>
      <w:r w:rsidR="008A3739" w:rsidRPr="00793FF1">
        <w:rPr>
          <w:rFonts w:ascii="Arial" w:hAnsi="Arial" w:cs="Arial"/>
          <w:sz w:val="24"/>
          <w:szCs w:val="24"/>
          <w:lang w:val="en-ID"/>
        </w:rPr>
        <w:t>mengharuskan</w:t>
      </w:r>
      <w:r w:rsidRPr="00793FF1">
        <w:rPr>
          <w:rFonts w:ascii="Arial" w:hAnsi="Arial" w:cs="Arial"/>
          <w:sz w:val="24"/>
          <w:szCs w:val="24"/>
          <w:lang w:val="en-ID"/>
        </w:rPr>
        <w:t xml:space="preserve"> pemerintah menerapkan PPKM level 3. Hal ini menunjukkan bahwa ketidakpastian ekonomi masih menjadi </w:t>
      </w:r>
      <w:r w:rsidRPr="00793FF1">
        <w:rPr>
          <w:rFonts w:ascii="Arial" w:hAnsi="Arial" w:cs="Arial"/>
          <w:sz w:val="24"/>
          <w:szCs w:val="24"/>
          <w:lang w:val="en-ID"/>
        </w:rPr>
        <w:lastRenderedPageBreak/>
        <w:t xml:space="preserve">ancaman dan masih sangat dinamis pergerakannya di tengah pandemi yang belum usai. </w:t>
      </w:r>
    </w:p>
    <w:p w:rsidR="006536A5" w:rsidRPr="00793FF1" w:rsidRDefault="008A3739"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Dalam ketidakpastian ekonomi, pemerintah daerah menargetkan </w:t>
      </w:r>
      <w:r w:rsidR="006536A5" w:rsidRPr="00793FF1">
        <w:rPr>
          <w:rFonts w:ascii="Arial" w:hAnsi="Arial" w:cs="Arial"/>
          <w:sz w:val="24"/>
          <w:szCs w:val="24"/>
          <w:lang w:val="en-ID"/>
        </w:rPr>
        <w:t>pendapatan daerah pada APBD Pokok Tahun Anggaran 2021 sebesar Rp.1,09 Triliun lebih, meningkat sebesar 10,90 persen dibandingkan realisasi pendapatan daerah pada APBD Tahun Anggaran 2020 lalu yang sebesar Rp.984,92 Milyar lebih. Untuk itu asumsi umum Pendapatan Daerah pada Tahun Anggaran 2021 diharapkan mengalami penyesuaian berdasark</w:t>
      </w:r>
      <w:r w:rsidRPr="00793FF1">
        <w:rPr>
          <w:rFonts w:ascii="Arial" w:hAnsi="Arial" w:cs="Arial"/>
          <w:sz w:val="24"/>
          <w:szCs w:val="24"/>
          <w:lang w:val="en-ID"/>
        </w:rPr>
        <w:t>an kondisi dan keadaan terkini.</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Pada penerimaan Pendapatan Asli Daerah, penyesuaian dilakukan pada Lain-lain Pendapatan Asli Daerah Yang Sah. Pada kelompok penerimaan dana transfer dari Pemerintah Pusat, kebutuhan anggaran untuk menangani pandemi Covid-19 juga membuat penetapan alokasi dana transfer ke daerah yang telah ditetapkan sebelumnya mengalami perubahan dengan diterbitkannya Peraturan Menteri Keuangan Republik Indonesia No. 17/PMK.07/Tahun 2021 tentang Pengelolaan Transfer ke Daerah dan Dana Desa Dalam Rangka Mendukung Penanganan Pandemi Covid-19 Dan Dampaknya. Penyesuaian yang dilakukan meliputi Dana Bagi Hasil Pajak dan Sumber Daya Alam, Dana Alokasi Umum dan Dana Alokasi Khusus Fisik. Sementara pada kelompok penerimaan </w:t>
      </w:r>
      <w:proofErr w:type="gramStart"/>
      <w:r w:rsidRPr="00793FF1">
        <w:rPr>
          <w:rFonts w:ascii="Arial" w:hAnsi="Arial" w:cs="Arial"/>
          <w:sz w:val="24"/>
          <w:szCs w:val="24"/>
          <w:lang w:val="en-ID"/>
        </w:rPr>
        <w:t>dana</w:t>
      </w:r>
      <w:proofErr w:type="gramEnd"/>
      <w:r w:rsidRPr="00793FF1">
        <w:rPr>
          <w:rFonts w:ascii="Arial" w:hAnsi="Arial" w:cs="Arial"/>
          <w:sz w:val="24"/>
          <w:szCs w:val="24"/>
          <w:lang w:val="en-ID"/>
        </w:rPr>
        <w:t xml:space="preserve"> transfer Antar Daerah dilakukan penyesuaian pada pos Bantuan Keuangan. Adapun pada kelompok penerimaan Lain-lain Pendapatan Daerah Yang Sah dilakukan penyesuaian nilai pada Lain-Lain Pendapatan Sesuai Dengan Ketentuan Peraturan Perundang-undangan.</w:t>
      </w:r>
    </w:p>
    <w:p w:rsidR="006536A5" w:rsidRPr="00793FF1" w:rsidRDefault="006536A5" w:rsidP="006536A5">
      <w:pPr>
        <w:spacing w:after="12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Dengan penyesuaian-penyesuaian tersebut yang utamanya disebabkan oleh masih sangat berpengaruhnya dampak pandemi Covid-19 terhadap perekonomian daerah Kabupaten Kepulauan Selayar dan perubahan rencana alokasi Pendapatan Transfer dari Pemerintah Pusat sebagaimana dijelaskan di atas, maka pada rencana pendapatan daerah di RKPD Perubahan Tahun Anggaran 2021 secara akumulatif mengalami penurunan sebesar 3,97% dari yang direncanakan dalam APBD Pokok Tahun Anggaran 2021 ini. </w:t>
      </w:r>
    </w:p>
    <w:p w:rsidR="006536A5" w:rsidRPr="00793FF1" w:rsidRDefault="006536A5" w:rsidP="00611D25">
      <w:pPr>
        <w:pStyle w:val="ListParagraph"/>
        <w:numPr>
          <w:ilvl w:val="0"/>
          <w:numId w:val="64"/>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rPr>
        <w:t>Rencana Perubahan Pendapatan Daerah Tahun 2021</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Sampai dengan akhir Juni tahun 2021, realisasi pendapatan daerah Kabupaten Kepulauan Selayar mencapai Rp</w:t>
      </w:r>
      <w:r w:rsidRPr="00793FF1">
        <w:rPr>
          <w:rFonts w:ascii="Arial" w:hAnsi="Arial" w:cs="Arial"/>
          <w:sz w:val="24"/>
          <w:szCs w:val="24"/>
          <w:lang w:val="id-ID"/>
        </w:rPr>
        <w:t>.354.155.740.460,93</w:t>
      </w:r>
      <w:r w:rsidRPr="00793FF1">
        <w:rPr>
          <w:rFonts w:ascii="Arial" w:hAnsi="Arial" w:cs="Arial"/>
          <w:sz w:val="24"/>
          <w:szCs w:val="24"/>
          <w:lang w:val="en-ID"/>
        </w:rPr>
        <w:t xml:space="preserve"> atau baru </w:t>
      </w:r>
      <w:r w:rsidRPr="00793FF1">
        <w:rPr>
          <w:rFonts w:ascii="Arial" w:hAnsi="Arial" w:cs="Arial"/>
          <w:sz w:val="24"/>
          <w:szCs w:val="24"/>
          <w:lang w:val="id-ID"/>
        </w:rPr>
        <w:lastRenderedPageBreak/>
        <w:t xml:space="preserve">32,42 </w:t>
      </w:r>
      <w:r w:rsidRPr="00793FF1">
        <w:rPr>
          <w:rFonts w:ascii="Arial" w:hAnsi="Arial" w:cs="Arial"/>
          <w:sz w:val="24"/>
          <w:szCs w:val="24"/>
          <w:lang w:val="en-ID"/>
        </w:rPr>
        <w:t>persen dari target yang ditetapkan sebesar Rp.1.092.257.960.000,00 pada APBD Pokok 2021. Pendapatan Asli Daerah terealisasi sebesar Rp</w:t>
      </w:r>
      <w:r w:rsidRPr="00793FF1">
        <w:rPr>
          <w:rFonts w:ascii="Arial" w:hAnsi="Arial" w:cs="Arial"/>
          <w:sz w:val="24"/>
          <w:szCs w:val="24"/>
          <w:lang w:val="id-ID"/>
        </w:rPr>
        <w:t xml:space="preserve">.11.557.604.747,93 </w:t>
      </w:r>
      <w:r w:rsidRPr="00793FF1">
        <w:rPr>
          <w:rFonts w:ascii="Arial" w:hAnsi="Arial" w:cs="Arial"/>
          <w:sz w:val="24"/>
          <w:szCs w:val="24"/>
          <w:lang w:val="en-ID"/>
        </w:rPr>
        <w:t xml:space="preserve"> atau </w:t>
      </w:r>
      <w:r w:rsidRPr="00793FF1">
        <w:rPr>
          <w:rFonts w:ascii="Arial" w:hAnsi="Arial" w:cs="Arial"/>
          <w:sz w:val="24"/>
          <w:szCs w:val="24"/>
          <w:lang w:val="id-ID"/>
        </w:rPr>
        <w:t xml:space="preserve">29,04 </w:t>
      </w:r>
      <w:r w:rsidRPr="00793FF1">
        <w:rPr>
          <w:rFonts w:ascii="Arial" w:hAnsi="Arial" w:cs="Arial"/>
          <w:sz w:val="24"/>
          <w:szCs w:val="24"/>
          <w:lang w:val="en-ID"/>
        </w:rPr>
        <w:t>persen dari target yang ditetapkan sebesar Rp.</w:t>
      </w:r>
      <w:r w:rsidR="00CF2BA0" w:rsidRPr="00793FF1">
        <w:rPr>
          <w:rFonts w:ascii="Arial" w:hAnsi="Arial" w:cs="Arial"/>
          <w:sz w:val="24"/>
          <w:szCs w:val="24"/>
          <w:lang w:val="en-ID"/>
        </w:rPr>
        <w:t xml:space="preserve">87.072.440.000,00, </w:t>
      </w:r>
      <w:r w:rsidRPr="00793FF1">
        <w:rPr>
          <w:rFonts w:ascii="Arial" w:hAnsi="Arial" w:cs="Arial"/>
          <w:sz w:val="24"/>
          <w:szCs w:val="24"/>
          <w:lang w:val="en-ID"/>
        </w:rPr>
        <w:t>Pendapatan Transfer terealisasi Rp</w:t>
      </w:r>
      <w:r w:rsidR="00CF2BA0" w:rsidRPr="00793FF1">
        <w:rPr>
          <w:rFonts w:ascii="Arial" w:hAnsi="Arial" w:cs="Arial"/>
          <w:sz w:val="24"/>
          <w:szCs w:val="24"/>
          <w:lang w:val="id-ID"/>
        </w:rPr>
        <w:t>.</w:t>
      </w:r>
      <w:r w:rsidRPr="00793FF1">
        <w:rPr>
          <w:rFonts w:ascii="Arial" w:hAnsi="Arial" w:cs="Arial"/>
          <w:sz w:val="24"/>
          <w:szCs w:val="24"/>
          <w:lang w:val="id-ID"/>
        </w:rPr>
        <w:t>342.598.135.713,00</w:t>
      </w:r>
      <w:r w:rsidRPr="00793FF1">
        <w:rPr>
          <w:rFonts w:ascii="Arial" w:hAnsi="Arial" w:cs="Arial"/>
          <w:sz w:val="24"/>
          <w:szCs w:val="24"/>
          <w:lang w:val="en-ID"/>
        </w:rPr>
        <w:t xml:space="preserve"> atau </w:t>
      </w:r>
      <w:r w:rsidRPr="00793FF1">
        <w:rPr>
          <w:rFonts w:ascii="Arial" w:hAnsi="Arial" w:cs="Arial"/>
          <w:sz w:val="24"/>
          <w:szCs w:val="24"/>
          <w:lang w:val="id-ID"/>
        </w:rPr>
        <w:t xml:space="preserve">34,74 </w:t>
      </w:r>
      <w:r w:rsidRPr="00793FF1">
        <w:rPr>
          <w:rFonts w:ascii="Arial" w:hAnsi="Arial" w:cs="Arial"/>
          <w:sz w:val="24"/>
          <w:szCs w:val="24"/>
          <w:lang w:val="en-ID"/>
        </w:rPr>
        <w:t xml:space="preserve">persen dari target yang sebesar </w:t>
      </w:r>
      <w:r w:rsidR="00CF2BA0" w:rsidRPr="00793FF1">
        <w:rPr>
          <w:rFonts w:ascii="Arial" w:hAnsi="Arial" w:cs="Arial"/>
          <w:sz w:val="24"/>
          <w:szCs w:val="24"/>
          <w:lang w:val="en-ID"/>
        </w:rPr>
        <w:t>Rp.</w:t>
      </w:r>
      <w:r w:rsidRPr="00793FF1">
        <w:rPr>
          <w:rFonts w:ascii="Arial" w:hAnsi="Arial" w:cs="Arial"/>
          <w:sz w:val="24"/>
          <w:szCs w:val="24"/>
          <w:lang w:val="en-ID"/>
        </w:rPr>
        <w:t>986.166.240.000,00  dan Lain- Lain Pendapatan Daerah Yang Sah terealisasi sebesar Rp.0, atau 0</w:t>
      </w:r>
      <w:r w:rsidR="00CF2BA0" w:rsidRPr="00793FF1">
        <w:rPr>
          <w:rFonts w:ascii="Arial" w:hAnsi="Arial" w:cs="Arial"/>
          <w:sz w:val="24"/>
          <w:szCs w:val="24"/>
          <w:lang w:val="en-ID"/>
        </w:rPr>
        <w:t xml:space="preserve"> persen dari target sebesar Rp.</w:t>
      </w:r>
      <w:r w:rsidRPr="00793FF1">
        <w:rPr>
          <w:rFonts w:ascii="Arial" w:hAnsi="Arial" w:cs="Arial"/>
          <w:sz w:val="24"/>
          <w:szCs w:val="24"/>
          <w:lang w:val="en-ID"/>
        </w:rPr>
        <w:t>19,019,280,000.00.</w:t>
      </w:r>
    </w:p>
    <w:p w:rsidR="006536A5" w:rsidRPr="00793FF1" w:rsidRDefault="006536A5" w:rsidP="006536A5">
      <w:pPr>
        <w:spacing w:after="120" w:line="360" w:lineRule="auto"/>
        <w:ind w:firstLine="851"/>
        <w:jc w:val="both"/>
        <w:rPr>
          <w:rFonts w:ascii="Arial" w:hAnsi="Arial" w:cs="Arial"/>
          <w:sz w:val="24"/>
          <w:szCs w:val="24"/>
          <w:lang w:val="en-ID"/>
        </w:rPr>
      </w:pPr>
      <w:r w:rsidRPr="00793FF1">
        <w:rPr>
          <w:rFonts w:ascii="Arial" w:hAnsi="Arial" w:cs="Arial"/>
          <w:sz w:val="24"/>
          <w:szCs w:val="24"/>
          <w:lang w:val="en-ID"/>
        </w:rPr>
        <w:t>Dalam RKPD Perubahan 2021, target pendapatan daerah direncanakan sebesar Rp.1.048.847.347.039</w:t>
      </w:r>
      <w:proofErr w:type="gramStart"/>
      <w:r w:rsidRPr="00793FF1">
        <w:rPr>
          <w:rFonts w:ascii="Arial" w:hAnsi="Arial" w:cs="Arial"/>
          <w:sz w:val="24"/>
          <w:szCs w:val="24"/>
          <w:lang w:val="en-ID"/>
        </w:rPr>
        <w:t>,00</w:t>
      </w:r>
      <w:proofErr w:type="gramEnd"/>
      <w:r w:rsidRPr="00793FF1">
        <w:rPr>
          <w:rFonts w:ascii="Arial" w:hAnsi="Arial" w:cs="Arial"/>
          <w:sz w:val="24"/>
          <w:szCs w:val="24"/>
          <w:lang w:val="en-ID"/>
        </w:rPr>
        <w:t xml:space="preserve"> atau turun sebesar Rp. 43,410,612,961.00 (3,97 persen) dibandingkan Target Pokok 2021. Adapun rincian perubahan target pendapatan daerah selengkapnya adalah sebagai berikut:</w:t>
      </w:r>
    </w:p>
    <w:p w:rsidR="006536A5" w:rsidRPr="00793FF1" w:rsidRDefault="006536A5" w:rsidP="00611D25">
      <w:pPr>
        <w:pStyle w:val="ListParagraph"/>
        <w:numPr>
          <w:ilvl w:val="0"/>
          <w:numId w:val="64"/>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rPr>
        <w:t>Perubahan Pendapatan Asli Daerah (PAD)</w:t>
      </w:r>
    </w:p>
    <w:p w:rsidR="006536A5" w:rsidRPr="00793FF1" w:rsidRDefault="006536A5" w:rsidP="006536A5">
      <w:pPr>
        <w:spacing w:after="120" w:line="360" w:lineRule="auto"/>
        <w:ind w:firstLine="851"/>
        <w:jc w:val="both"/>
        <w:rPr>
          <w:rFonts w:ascii="Arial" w:hAnsi="Arial" w:cs="Arial"/>
          <w:sz w:val="24"/>
          <w:szCs w:val="24"/>
          <w:lang w:val="en-ID"/>
        </w:rPr>
      </w:pPr>
      <w:r w:rsidRPr="00793FF1">
        <w:rPr>
          <w:rFonts w:ascii="Arial" w:hAnsi="Arial" w:cs="Arial"/>
          <w:sz w:val="24"/>
          <w:szCs w:val="24"/>
          <w:lang w:val="en-ID"/>
        </w:rPr>
        <w:t>Pendapatan Asli Daerah (PAD) Kabupaten Kepulauan Selayar dalam RKPD Perubahan TA. 2021 ditargetkan sebesar Rp.89.283.829.000,00 mengalami peningkatan sebesar Rp.2.211.389.000,00, atau 2,54 persen dibandingkan APBD Pokok 2021 yang sebesar Rp87.072.440.000,00. PAD tersebut terdiri atas Pajak Daerah sebesar Rp.</w:t>
      </w:r>
      <w:r w:rsidRPr="00793FF1">
        <w:t xml:space="preserve"> </w:t>
      </w:r>
      <w:r w:rsidRPr="00793FF1">
        <w:rPr>
          <w:rFonts w:ascii="Arial" w:hAnsi="Arial" w:cs="Arial"/>
          <w:sz w:val="24"/>
          <w:szCs w:val="24"/>
          <w:lang w:val="en-ID"/>
        </w:rPr>
        <w:t>10.560.782.000,00, Retribusi Daerah ditargetkan sebesar Rp.2.568.372.000,00, Hasil Pengelolaan Kekayaan Daerah yang Dipisahkan sebesar Rp.10.916.250.000,00, dan Lain-Lain Pendapatan Asli Daerah yang Sah sebesar Rp.65.238.425.000,00, mengalami kenaikan sebesar 3,51 persen dari APBD Pokok 2021 yang telah ditetapkan sebelumnya.</w:t>
      </w:r>
    </w:p>
    <w:p w:rsidR="006536A5" w:rsidRPr="00793FF1" w:rsidRDefault="006536A5" w:rsidP="00611D25">
      <w:pPr>
        <w:pStyle w:val="ListParagraph"/>
        <w:numPr>
          <w:ilvl w:val="0"/>
          <w:numId w:val="64"/>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rPr>
        <w:t>Perubahan Pendapatan Transfer</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Pada RKPD Perubahan Tahun Anggaran 2021, Pendapatan Transfer ditargetkan Rp.936.106.368.039</w:t>
      </w:r>
      <w:proofErr w:type="gramStart"/>
      <w:r w:rsidRPr="00793FF1">
        <w:rPr>
          <w:rFonts w:ascii="Arial" w:hAnsi="Arial" w:cs="Arial"/>
          <w:sz w:val="24"/>
          <w:szCs w:val="24"/>
          <w:lang w:val="en-ID"/>
        </w:rPr>
        <w:t>,00</w:t>
      </w:r>
      <w:proofErr w:type="gramEnd"/>
      <w:r w:rsidRPr="00793FF1">
        <w:rPr>
          <w:rFonts w:ascii="Arial" w:hAnsi="Arial" w:cs="Arial"/>
          <w:sz w:val="24"/>
          <w:szCs w:val="24"/>
          <w:lang w:val="en-ID"/>
        </w:rPr>
        <w:t xml:space="preserve">, turun sebesar Rp.50.059.871.961,00 (5,08 persen) dibandingkan dengan Target Pokok 2021 yang sebesar Rp.986.166.240.000,00. Perubahan ini sesuai dengan Peraturan Menteri Keuangan Republik Indonesia Nomor 17/PMK.07/Tahun 2021 tentang Pengelolan Transfer Ke Daerah dan Dana Desa Dalam Rangka Mendukung Penanganan Pandemi Corona Virus Disease 2019 (COVID-19) Dan Dampaknya dan juga disesuaikan dengan Peraturan Menteri Keuangan Republik Indonesia No. 25/PMK.07/Tahun 2021 tentang Penetapan Kurang </w:t>
      </w:r>
      <w:r w:rsidRPr="00793FF1">
        <w:rPr>
          <w:rFonts w:ascii="Arial" w:hAnsi="Arial" w:cs="Arial"/>
          <w:sz w:val="24"/>
          <w:szCs w:val="24"/>
          <w:lang w:val="en-ID"/>
        </w:rPr>
        <w:lastRenderedPageBreak/>
        <w:t xml:space="preserve">Bayar, Lebih Bayar, Dan Alokasi Sementara Kurang Bayar Dana Bagi Hasil Pada Tahun 2021. </w:t>
      </w:r>
    </w:p>
    <w:p w:rsidR="006536A5" w:rsidRPr="00793FF1" w:rsidRDefault="006536A5" w:rsidP="006536A5">
      <w:pPr>
        <w:spacing w:after="120" w:line="360" w:lineRule="auto"/>
        <w:ind w:firstLine="851"/>
        <w:jc w:val="both"/>
        <w:rPr>
          <w:rFonts w:ascii="Arial" w:hAnsi="Arial" w:cs="Arial"/>
          <w:sz w:val="24"/>
          <w:szCs w:val="24"/>
          <w:lang w:val="en-ID"/>
        </w:rPr>
      </w:pPr>
      <w:r w:rsidRPr="00793FF1">
        <w:rPr>
          <w:rFonts w:ascii="Arial" w:hAnsi="Arial" w:cs="Arial"/>
          <w:sz w:val="24"/>
          <w:szCs w:val="24"/>
          <w:lang w:val="en-ID"/>
        </w:rPr>
        <w:t>Pendapatan Transfer dari Pemerintah Pusat terdiri dari Dana Perimbangan sebesar Rp.781</w:t>
      </w:r>
      <w:proofErr w:type="gramStart"/>
      <w:r w:rsidRPr="00793FF1">
        <w:rPr>
          <w:rFonts w:ascii="Arial" w:hAnsi="Arial" w:cs="Arial"/>
          <w:sz w:val="24"/>
          <w:szCs w:val="24"/>
          <w:lang w:val="en-ID"/>
        </w:rPr>
        <w:t>,005,616,039.00</w:t>
      </w:r>
      <w:proofErr w:type="gramEnd"/>
      <w:r w:rsidRPr="00793FF1">
        <w:rPr>
          <w:rFonts w:ascii="Arial" w:hAnsi="Arial" w:cs="Arial"/>
          <w:sz w:val="24"/>
          <w:szCs w:val="24"/>
          <w:lang w:val="en-ID"/>
        </w:rPr>
        <w:t>, Dana Insentif Daerah sebesar Rp. 21,085,165,000.00, dan Dana Desa sebesar Rp.85,522,515,000.00. Sementara itu, Pendapatan Transfer Antar Daerah terdiri dari Pendapatan Bagi Hasil sebesar Rp32.100.000.000</w:t>
      </w:r>
      <w:proofErr w:type="gramStart"/>
      <w:r w:rsidRPr="00793FF1">
        <w:rPr>
          <w:rFonts w:ascii="Arial" w:hAnsi="Arial" w:cs="Arial"/>
          <w:sz w:val="24"/>
          <w:szCs w:val="24"/>
          <w:lang w:val="en-ID"/>
        </w:rPr>
        <w:t>,00</w:t>
      </w:r>
      <w:proofErr w:type="gramEnd"/>
      <w:r w:rsidRPr="00793FF1">
        <w:rPr>
          <w:rFonts w:ascii="Arial" w:hAnsi="Arial" w:cs="Arial"/>
          <w:sz w:val="24"/>
          <w:szCs w:val="24"/>
          <w:lang w:val="en-ID"/>
        </w:rPr>
        <w:t xml:space="preserve"> dan Bantuan Keuangan sebesar Rp.16.393.072.000,00.</w:t>
      </w:r>
    </w:p>
    <w:p w:rsidR="006536A5" w:rsidRPr="00793FF1" w:rsidRDefault="006536A5" w:rsidP="00611D25">
      <w:pPr>
        <w:pStyle w:val="ListParagraph"/>
        <w:numPr>
          <w:ilvl w:val="0"/>
          <w:numId w:val="64"/>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rPr>
        <w:t>Lain-lain Pendapatan Daerah Yang Sah</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Pada Rencana Kerja Pemerintah Daerah Perubahan Tahun 2021, Lain-lain Pendapatan Daerah yang Sah ditargetkan sebesar Rp. 23.457.150.000,00, meningkat dari target yang ditetapkan di Anggaran Pokok sebesar Rp.19.019.280.000,00 atau 23,33 persen.</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 Adapun struktur pendapatan daerah pada RPJMD Tahun Anggaran 2021 dan struktur pendapatan daerah pada Perubahan RKPD Tahun Anggaran 2021, berturut-turut dapat dilihat sebagai berikut:</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Tabel 3.4</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Struktur Pendapatan Daerah Kabupaten Kepulauan Selayar</w:t>
      </w:r>
    </w:p>
    <w:p w:rsidR="006536A5" w:rsidRPr="00793FF1" w:rsidRDefault="006536A5" w:rsidP="006536A5">
      <w:pPr>
        <w:spacing w:after="0" w:line="360" w:lineRule="auto"/>
        <w:jc w:val="center"/>
        <w:rPr>
          <w:rFonts w:ascii="Arial" w:hAnsi="Arial" w:cs="Arial"/>
          <w:b/>
        </w:rPr>
      </w:pPr>
      <w:r w:rsidRPr="00793FF1">
        <w:rPr>
          <w:rFonts w:ascii="Arial" w:hAnsi="Arial" w:cs="Arial"/>
          <w:b/>
        </w:rPr>
        <w:t>Pada RPJMD Tahun Anggaran 2021</w:t>
      </w:r>
    </w:p>
    <w:tbl>
      <w:tblPr>
        <w:tblW w:w="7125" w:type="dxa"/>
        <w:jc w:val="center"/>
        <w:tblLayout w:type="fixed"/>
        <w:tblLook w:val="04A0" w:firstRow="1" w:lastRow="0" w:firstColumn="1" w:lastColumn="0" w:noHBand="0" w:noVBand="1"/>
      </w:tblPr>
      <w:tblGrid>
        <w:gridCol w:w="993"/>
        <w:gridCol w:w="4006"/>
        <w:gridCol w:w="2126"/>
      </w:tblGrid>
      <w:tr w:rsidR="00793FF1" w:rsidRPr="00793FF1" w:rsidTr="00BD793E">
        <w:trPr>
          <w:trHeight w:val="300"/>
          <w:tblHeader/>
          <w:jc w:val="center"/>
        </w:trPr>
        <w:tc>
          <w:tcPr>
            <w:tcW w:w="993" w:type="dxa"/>
            <w:tcBorders>
              <w:top w:val="single" w:sz="4" w:space="0" w:color="C9C9C9"/>
              <w:left w:val="single" w:sz="4" w:space="0" w:color="C9C9C9"/>
              <w:bottom w:val="single" w:sz="4" w:space="0" w:color="C9C9C9"/>
              <w:right w:val="single" w:sz="4" w:space="0" w:color="C9C9C9"/>
            </w:tcBorders>
            <w:shd w:val="clear" w:color="EDEDED" w:fill="EDEDED"/>
            <w:noWrap/>
            <w:vAlign w:val="bottom"/>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t>No</w:t>
            </w:r>
          </w:p>
        </w:tc>
        <w:tc>
          <w:tcPr>
            <w:tcW w:w="4006" w:type="dxa"/>
            <w:tcBorders>
              <w:top w:val="single" w:sz="4" w:space="0" w:color="C9C9C9"/>
              <w:left w:val="single" w:sz="4" w:space="0" w:color="C9C9C9"/>
              <w:bottom w:val="single" w:sz="4" w:space="0" w:color="C9C9C9"/>
              <w:right w:val="single" w:sz="4" w:space="0" w:color="C9C9C9"/>
            </w:tcBorders>
            <w:shd w:val="clear" w:color="EDEDED" w:fill="EDEDED"/>
            <w:noWrap/>
            <w:vAlign w:val="bottom"/>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t>Uraian</w:t>
            </w:r>
          </w:p>
        </w:tc>
        <w:tc>
          <w:tcPr>
            <w:tcW w:w="2126" w:type="dxa"/>
            <w:tcBorders>
              <w:top w:val="single" w:sz="4" w:space="0" w:color="C9C9C9"/>
              <w:left w:val="single" w:sz="4" w:space="0" w:color="C9C9C9"/>
              <w:bottom w:val="single" w:sz="4" w:space="0" w:color="C9C9C9"/>
              <w:right w:val="single" w:sz="4" w:space="0" w:color="C9C9C9"/>
            </w:tcBorders>
            <w:shd w:val="clear" w:color="EDEDED" w:fill="EDEDED"/>
            <w:noWrap/>
            <w:vAlign w:val="bottom"/>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t>Tahun 2021</w:t>
            </w:r>
          </w:p>
        </w:tc>
      </w:tr>
      <w:tr w:rsidR="00793FF1" w:rsidRPr="00793FF1" w:rsidTr="00BD793E">
        <w:trPr>
          <w:trHeight w:val="300"/>
          <w:tblHeader/>
          <w:jc w:val="center"/>
        </w:trPr>
        <w:tc>
          <w:tcPr>
            <w:tcW w:w="993" w:type="dxa"/>
            <w:tcBorders>
              <w:top w:val="single" w:sz="4" w:space="0" w:color="C9C9C9"/>
              <w:left w:val="single" w:sz="4" w:space="0" w:color="C9C9C9"/>
              <w:bottom w:val="single" w:sz="4" w:space="0" w:color="C9C9C9"/>
              <w:right w:val="single" w:sz="4" w:space="0" w:color="C9C9C9"/>
            </w:tcBorders>
            <w:shd w:val="clear" w:color="EDEDED" w:fill="EDEDED"/>
            <w:noWrap/>
            <w:vAlign w:val="bottom"/>
          </w:tcPr>
          <w:p w:rsidR="006536A5" w:rsidRPr="00793FF1" w:rsidRDefault="006536A5" w:rsidP="00BD793E">
            <w:pPr>
              <w:spacing w:after="0" w:line="240" w:lineRule="auto"/>
              <w:jc w:val="center"/>
              <w:rPr>
                <w:rFonts w:ascii="Arial Narrow" w:eastAsia="Times New Roman" w:hAnsi="Arial Narrow" w:cs="Arial"/>
                <w:bCs/>
                <w:i/>
              </w:rPr>
            </w:pPr>
            <w:r w:rsidRPr="00793FF1">
              <w:rPr>
                <w:rFonts w:ascii="Arial Narrow" w:eastAsia="Times New Roman" w:hAnsi="Arial Narrow" w:cs="Arial"/>
                <w:bCs/>
                <w:i/>
              </w:rPr>
              <w:t>1</w:t>
            </w:r>
          </w:p>
        </w:tc>
        <w:tc>
          <w:tcPr>
            <w:tcW w:w="4006" w:type="dxa"/>
            <w:tcBorders>
              <w:top w:val="single" w:sz="4" w:space="0" w:color="C9C9C9"/>
              <w:left w:val="single" w:sz="4" w:space="0" w:color="C9C9C9"/>
              <w:bottom w:val="single" w:sz="4" w:space="0" w:color="C9C9C9"/>
              <w:right w:val="single" w:sz="4" w:space="0" w:color="C9C9C9"/>
            </w:tcBorders>
            <w:shd w:val="clear" w:color="EDEDED" w:fill="EDEDED"/>
            <w:noWrap/>
            <w:vAlign w:val="bottom"/>
          </w:tcPr>
          <w:p w:rsidR="006536A5" w:rsidRPr="00793FF1" w:rsidRDefault="006536A5" w:rsidP="00BD793E">
            <w:pPr>
              <w:spacing w:after="0" w:line="240" w:lineRule="auto"/>
              <w:jc w:val="center"/>
              <w:rPr>
                <w:rFonts w:ascii="Arial Narrow" w:eastAsia="Times New Roman" w:hAnsi="Arial Narrow" w:cs="Arial"/>
                <w:bCs/>
                <w:i/>
              </w:rPr>
            </w:pPr>
            <w:r w:rsidRPr="00793FF1">
              <w:rPr>
                <w:rFonts w:ascii="Arial Narrow" w:eastAsia="Times New Roman" w:hAnsi="Arial Narrow" w:cs="Arial"/>
                <w:bCs/>
                <w:i/>
              </w:rPr>
              <w:t>2</w:t>
            </w:r>
          </w:p>
        </w:tc>
        <w:tc>
          <w:tcPr>
            <w:tcW w:w="2126" w:type="dxa"/>
            <w:tcBorders>
              <w:top w:val="single" w:sz="4" w:space="0" w:color="C9C9C9"/>
              <w:left w:val="single" w:sz="4" w:space="0" w:color="C9C9C9"/>
              <w:bottom w:val="single" w:sz="4" w:space="0" w:color="C9C9C9"/>
              <w:right w:val="single" w:sz="4" w:space="0" w:color="C9C9C9"/>
            </w:tcBorders>
            <w:shd w:val="clear" w:color="EDEDED" w:fill="EDEDED"/>
            <w:noWrap/>
            <w:vAlign w:val="bottom"/>
          </w:tcPr>
          <w:p w:rsidR="006536A5" w:rsidRPr="00793FF1" w:rsidRDefault="006536A5" w:rsidP="00BD793E">
            <w:pPr>
              <w:spacing w:after="0" w:line="240" w:lineRule="auto"/>
              <w:jc w:val="center"/>
              <w:rPr>
                <w:rFonts w:ascii="Arial Narrow" w:eastAsia="Times New Roman" w:hAnsi="Arial Narrow" w:cs="Arial"/>
                <w:bCs/>
                <w:i/>
              </w:rPr>
            </w:pPr>
            <w:r w:rsidRPr="00793FF1">
              <w:rPr>
                <w:rFonts w:ascii="Arial Narrow" w:eastAsia="Times New Roman" w:hAnsi="Arial Narrow" w:cs="Arial"/>
                <w:bCs/>
                <w:i/>
              </w:rPr>
              <w:t>3</w:t>
            </w:r>
          </w:p>
        </w:tc>
      </w:tr>
      <w:tr w:rsidR="00793FF1" w:rsidRPr="00793FF1" w:rsidTr="00BD793E">
        <w:trPr>
          <w:trHeight w:val="300"/>
          <w:jc w:val="center"/>
        </w:trPr>
        <w:tc>
          <w:tcPr>
            <w:tcW w:w="993"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t>1</w:t>
            </w:r>
          </w:p>
        </w:tc>
        <w:tc>
          <w:tcPr>
            <w:tcW w:w="400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b/>
                <w:bCs/>
              </w:rPr>
            </w:pPr>
            <w:r w:rsidRPr="00793FF1">
              <w:rPr>
                <w:rFonts w:ascii="Arial Narrow" w:eastAsia="Times New Roman" w:hAnsi="Arial Narrow" w:cs="Arial"/>
                <w:b/>
                <w:bCs/>
              </w:rPr>
              <w:t>PENDAPATAN</w:t>
            </w:r>
          </w:p>
        </w:tc>
        <w:tc>
          <w:tcPr>
            <w:tcW w:w="212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b/>
                <w:bCs/>
              </w:rPr>
            </w:pPr>
          </w:p>
        </w:tc>
      </w:tr>
      <w:tr w:rsidR="00793FF1" w:rsidRPr="00793FF1" w:rsidTr="00BD793E">
        <w:trPr>
          <w:trHeight w:val="300"/>
          <w:jc w:val="center"/>
        </w:trPr>
        <w:tc>
          <w:tcPr>
            <w:tcW w:w="993"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t>1.1.</w:t>
            </w:r>
          </w:p>
        </w:tc>
        <w:tc>
          <w:tcPr>
            <w:tcW w:w="4006"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rPr>
                <w:rFonts w:ascii="Arial Narrow" w:eastAsia="Times New Roman" w:hAnsi="Arial Narrow" w:cs="Arial"/>
                <w:b/>
                <w:bCs/>
              </w:rPr>
            </w:pPr>
            <w:r w:rsidRPr="00793FF1">
              <w:rPr>
                <w:rFonts w:ascii="Arial Narrow" w:eastAsia="Times New Roman" w:hAnsi="Arial Narrow" w:cs="Arial"/>
                <w:b/>
                <w:bCs/>
              </w:rPr>
              <w:t>Pendapatan Asli Daerah</w:t>
            </w:r>
          </w:p>
        </w:tc>
        <w:tc>
          <w:tcPr>
            <w:tcW w:w="2126"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right"/>
              <w:rPr>
                <w:rFonts w:ascii="Arial Narrow" w:eastAsia="Times New Roman" w:hAnsi="Arial Narrow" w:cs="Arial"/>
                <w:b/>
                <w:bCs/>
              </w:rPr>
            </w:pPr>
            <w:r w:rsidRPr="00793FF1">
              <w:rPr>
                <w:rFonts w:ascii="Arial Narrow" w:eastAsia="Times New Roman" w:hAnsi="Arial Narrow" w:cs="Arial"/>
                <w:b/>
                <w:bCs/>
              </w:rPr>
              <w:t>130,148,403,770.70</w:t>
            </w:r>
          </w:p>
        </w:tc>
      </w:tr>
      <w:tr w:rsidR="00793FF1" w:rsidRPr="00793FF1" w:rsidTr="00BD793E">
        <w:trPr>
          <w:trHeight w:val="285"/>
          <w:jc w:val="center"/>
        </w:trPr>
        <w:tc>
          <w:tcPr>
            <w:tcW w:w="993"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1.1.1.</w:t>
            </w:r>
          </w:p>
        </w:tc>
        <w:tc>
          <w:tcPr>
            <w:tcW w:w="400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Pajak daerah</w:t>
            </w:r>
          </w:p>
        </w:tc>
        <w:tc>
          <w:tcPr>
            <w:tcW w:w="212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10,534,456,406.25</w:t>
            </w:r>
          </w:p>
        </w:tc>
      </w:tr>
      <w:tr w:rsidR="00793FF1" w:rsidRPr="00793FF1" w:rsidTr="00BD793E">
        <w:trPr>
          <w:trHeight w:val="285"/>
          <w:jc w:val="center"/>
        </w:trPr>
        <w:tc>
          <w:tcPr>
            <w:tcW w:w="993"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1.1.2.</w:t>
            </w:r>
          </w:p>
        </w:tc>
        <w:tc>
          <w:tcPr>
            <w:tcW w:w="4006"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Retribusi daerah</w:t>
            </w:r>
          </w:p>
        </w:tc>
        <w:tc>
          <w:tcPr>
            <w:tcW w:w="2126"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3,553,033,128.75</w:t>
            </w:r>
          </w:p>
        </w:tc>
      </w:tr>
      <w:tr w:rsidR="00793FF1" w:rsidRPr="00793FF1" w:rsidTr="00BD793E">
        <w:trPr>
          <w:trHeight w:val="570"/>
          <w:jc w:val="center"/>
        </w:trPr>
        <w:tc>
          <w:tcPr>
            <w:tcW w:w="993"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1.1.3.</w:t>
            </w:r>
          </w:p>
        </w:tc>
        <w:tc>
          <w:tcPr>
            <w:tcW w:w="400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Hasil pengelolaan kekayaan daerah yang dipisahkan</w:t>
            </w:r>
          </w:p>
        </w:tc>
        <w:tc>
          <w:tcPr>
            <w:tcW w:w="212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18,472,401,243.45</w:t>
            </w:r>
          </w:p>
        </w:tc>
      </w:tr>
      <w:tr w:rsidR="00793FF1" w:rsidRPr="00793FF1" w:rsidTr="00BD793E">
        <w:trPr>
          <w:trHeight w:val="285"/>
          <w:jc w:val="center"/>
        </w:trPr>
        <w:tc>
          <w:tcPr>
            <w:tcW w:w="993"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1.1.4.</w:t>
            </w:r>
          </w:p>
        </w:tc>
        <w:tc>
          <w:tcPr>
            <w:tcW w:w="4006"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Lain-lain PAD yang sah</w:t>
            </w:r>
          </w:p>
        </w:tc>
        <w:tc>
          <w:tcPr>
            <w:tcW w:w="2126"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97,588,512,992.25</w:t>
            </w:r>
          </w:p>
        </w:tc>
      </w:tr>
      <w:tr w:rsidR="00793FF1" w:rsidRPr="00793FF1" w:rsidTr="00BD793E">
        <w:trPr>
          <w:trHeight w:val="300"/>
          <w:jc w:val="center"/>
        </w:trPr>
        <w:tc>
          <w:tcPr>
            <w:tcW w:w="993"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t>1.2.</w:t>
            </w:r>
          </w:p>
        </w:tc>
        <w:tc>
          <w:tcPr>
            <w:tcW w:w="400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b/>
                <w:bCs/>
              </w:rPr>
            </w:pPr>
            <w:r w:rsidRPr="00793FF1">
              <w:rPr>
                <w:rFonts w:ascii="Arial Narrow" w:eastAsia="Times New Roman" w:hAnsi="Arial Narrow" w:cs="Arial"/>
                <w:b/>
                <w:bCs/>
              </w:rPr>
              <w:t>Dana Perimbangan</w:t>
            </w:r>
          </w:p>
        </w:tc>
        <w:tc>
          <w:tcPr>
            <w:tcW w:w="212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right"/>
              <w:rPr>
                <w:rFonts w:ascii="Arial Narrow" w:eastAsia="Times New Roman" w:hAnsi="Arial Narrow" w:cs="Arial"/>
                <w:b/>
                <w:bCs/>
              </w:rPr>
            </w:pPr>
            <w:r w:rsidRPr="00793FF1">
              <w:rPr>
                <w:rFonts w:ascii="Arial Narrow" w:eastAsia="Times New Roman" w:hAnsi="Arial Narrow" w:cs="Arial"/>
                <w:b/>
                <w:bCs/>
              </w:rPr>
              <w:t>1,023,401,698,142.20</w:t>
            </w:r>
          </w:p>
        </w:tc>
      </w:tr>
      <w:tr w:rsidR="00793FF1" w:rsidRPr="00793FF1" w:rsidTr="00BD793E">
        <w:trPr>
          <w:trHeight w:val="285"/>
          <w:jc w:val="center"/>
        </w:trPr>
        <w:tc>
          <w:tcPr>
            <w:tcW w:w="993"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1.2.1.</w:t>
            </w:r>
          </w:p>
        </w:tc>
        <w:tc>
          <w:tcPr>
            <w:tcW w:w="4006"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Dana bagi hasil pajak /bagi hasil bukan pajak</w:t>
            </w:r>
          </w:p>
        </w:tc>
        <w:tc>
          <w:tcPr>
            <w:tcW w:w="2126"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27,124,431,378.66</w:t>
            </w:r>
          </w:p>
        </w:tc>
      </w:tr>
      <w:tr w:rsidR="00793FF1" w:rsidRPr="00793FF1" w:rsidTr="00BD793E">
        <w:trPr>
          <w:trHeight w:val="285"/>
          <w:jc w:val="center"/>
        </w:trPr>
        <w:tc>
          <w:tcPr>
            <w:tcW w:w="993"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1.2.2.</w:t>
            </w:r>
          </w:p>
        </w:tc>
        <w:tc>
          <w:tcPr>
            <w:tcW w:w="400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Dana alokasi umum</w:t>
            </w:r>
          </w:p>
        </w:tc>
        <w:tc>
          <w:tcPr>
            <w:tcW w:w="212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752,355,303,243.86</w:t>
            </w:r>
          </w:p>
        </w:tc>
      </w:tr>
      <w:tr w:rsidR="00793FF1" w:rsidRPr="00793FF1" w:rsidTr="00BD793E">
        <w:trPr>
          <w:trHeight w:val="285"/>
          <w:jc w:val="center"/>
        </w:trPr>
        <w:tc>
          <w:tcPr>
            <w:tcW w:w="993"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1.2.3.</w:t>
            </w:r>
          </w:p>
        </w:tc>
        <w:tc>
          <w:tcPr>
            <w:tcW w:w="4006"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Dana alokasi khusus</w:t>
            </w:r>
          </w:p>
        </w:tc>
        <w:tc>
          <w:tcPr>
            <w:tcW w:w="2126"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243,921,963,519.68</w:t>
            </w:r>
          </w:p>
        </w:tc>
      </w:tr>
      <w:tr w:rsidR="00793FF1" w:rsidRPr="00793FF1" w:rsidTr="00BD793E">
        <w:trPr>
          <w:trHeight w:val="300"/>
          <w:jc w:val="center"/>
        </w:trPr>
        <w:tc>
          <w:tcPr>
            <w:tcW w:w="993"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t>1.3.</w:t>
            </w:r>
          </w:p>
        </w:tc>
        <w:tc>
          <w:tcPr>
            <w:tcW w:w="400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b/>
                <w:bCs/>
              </w:rPr>
            </w:pPr>
            <w:r w:rsidRPr="00793FF1">
              <w:rPr>
                <w:rFonts w:ascii="Arial Narrow" w:eastAsia="Times New Roman" w:hAnsi="Arial Narrow" w:cs="Arial"/>
                <w:b/>
                <w:bCs/>
              </w:rPr>
              <w:t>Lain-Lain Pendapatan Daerah yang Sah</w:t>
            </w:r>
          </w:p>
        </w:tc>
        <w:tc>
          <w:tcPr>
            <w:tcW w:w="212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right"/>
              <w:rPr>
                <w:rFonts w:ascii="Arial Narrow" w:eastAsia="Times New Roman" w:hAnsi="Arial Narrow" w:cs="Arial"/>
                <w:b/>
                <w:bCs/>
              </w:rPr>
            </w:pPr>
            <w:r w:rsidRPr="00793FF1">
              <w:rPr>
                <w:rFonts w:ascii="Arial Narrow" w:eastAsia="Times New Roman" w:hAnsi="Arial Narrow" w:cs="Arial"/>
                <w:b/>
                <w:bCs/>
              </w:rPr>
              <w:t>126,911,582,233.66</w:t>
            </w:r>
          </w:p>
        </w:tc>
      </w:tr>
      <w:tr w:rsidR="00793FF1" w:rsidRPr="00793FF1" w:rsidTr="00BD793E">
        <w:trPr>
          <w:trHeight w:val="285"/>
          <w:jc w:val="center"/>
        </w:trPr>
        <w:tc>
          <w:tcPr>
            <w:tcW w:w="993"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1.3.1</w:t>
            </w:r>
          </w:p>
        </w:tc>
        <w:tc>
          <w:tcPr>
            <w:tcW w:w="4006"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Hibah</w:t>
            </w:r>
          </w:p>
        </w:tc>
        <w:tc>
          <w:tcPr>
            <w:tcW w:w="2126"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 xml:space="preserve">                                     -   </w:t>
            </w:r>
          </w:p>
        </w:tc>
      </w:tr>
      <w:tr w:rsidR="00793FF1" w:rsidRPr="00793FF1" w:rsidTr="00BD793E">
        <w:trPr>
          <w:trHeight w:val="285"/>
          <w:jc w:val="center"/>
        </w:trPr>
        <w:tc>
          <w:tcPr>
            <w:tcW w:w="993"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1.3.2</w:t>
            </w:r>
          </w:p>
        </w:tc>
        <w:tc>
          <w:tcPr>
            <w:tcW w:w="400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Dana darurat</w:t>
            </w:r>
          </w:p>
        </w:tc>
        <w:tc>
          <w:tcPr>
            <w:tcW w:w="212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 xml:space="preserve">                                     -   </w:t>
            </w:r>
          </w:p>
        </w:tc>
      </w:tr>
      <w:tr w:rsidR="00793FF1" w:rsidRPr="00793FF1" w:rsidTr="00BD793E">
        <w:trPr>
          <w:trHeight w:val="570"/>
          <w:jc w:val="center"/>
        </w:trPr>
        <w:tc>
          <w:tcPr>
            <w:tcW w:w="993"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1.3.3</w:t>
            </w:r>
          </w:p>
        </w:tc>
        <w:tc>
          <w:tcPr>
            <w:tcW w:w="4006"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Dana bagi hasil pajak dari provinsi dan Pemerintah Daerah lainnya **)</w:t>
            </w:r>
          </w:p>
        </w:tc>
        <w:tc>
          <w:tcPr>
            <w:tcW w:w="2126"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29,306,075,870.77</w:t>
            </w:r>
          </w:p>
        </w:tc>
      </w:tr>
      <w:tr w:rsidR="00793FF1" w:rsidRPr="00793FF1" w:rsidTr="00BD793E">
        <w:trPr>
          <w:trHeight w:val="570"/>
          <w:jc w:val="center"/>
        </w:trPr>
        <w:tc>
          <w:tcPr>
            <w:tcW w:w="993"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1.3.5</w:t>
            </w:r>
          </w:p>
        </w:tc>
        <w:tc>
          <w:tcPr>
            <w:tcW w:w="400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Bantuan  keuangan  dari  provinsi atau Pemerintah Daerah lainnya</w:t>
            </w:r>
          </w:p>
        </w:tc>
        <w:tc>
          <w:tcPr>
            <w:tcW w:w="212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5,951,296,638.76</w:t>
            </w:r>
          </w:p>
        </w:tc>
      </w:tr>
      <w:tr w:rsidR="00793FF1" w:rsidRPr="00793FF1" w:rsidTr="00BD793E">
        <w:trPr>
          <w:trHeight w:val="285"/>
          <w:jc w:val="center"/>
        </w:trPr>
        <w:tc>
          <w:tcPr>
            <w:tcW w:w="993"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1.3.6</w:t>
            </w:r>
          </w:p>
        </w:tc>
        <w:tc>
          <w:tcPr>
            <w:tcW w:w="4006"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Dana Desa</w:t>
            </w:r>
          </w:p>
        </w:tc>
        <w:tc>
          <w:tcPr>
            <w:tcW w:w="2126"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91,654,209,724.14</w:t>
            </w:r>
          </w:p>
        </w:tc>
      </w:tr>
      <w:tr w:rsidR="00793FF1" w:rsidRPr="00793FF1" w:rsidTr="00BD793E">
        <w:trPr>
          <w:trHeight w:val="519"/>
          <w:jc w:val="center"/>
        </w:trPr>
        <w:tc>
          <w:tcPr>
            <w:tcW w:w="4999" w:type="dxa"/>
            <w:gridSpan w:val="2"/>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lastRenderedPageBreak/>
              <w:t>Jumlah Pendapatan</w:t>
            </w:r>
          </w:p>
        </w:tc>
        <w:tc>
          <w:tcPr>
            <w:tcW w:w="212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right"/>
              <w:rPr>
                <w:rFonts w:ascii="Arial Narrow" w:eastAsia="Times New Roman" w:hAnsi="Arial Narrow" w:cs="Arial"/>
                <w:b/>
                <w:bCs/>
              </w:rPr>
            </w:pPr>
            <w:r w:rsidRPr="00793FF1">
              <w:rPr>
                <w:rFonts w:ascii="Arial Narrow" w:eastAsia="Times New Roman" w:hAnsi="Arial Narrow" w:cs="Arial"/>
                <w:b/>
                <w:bCs/>
              </w:rPr>
              <w:t>1,280,461,684,146.56</w:t>
            </w:r>
          </w:p>
        </w:tc>
      </w:tr>
    </w:tbl>
    <w:p w:rsidR="006536A5" w:rsidRPr="00793FF1" w:rsidRDefault="006536A5" w:rsidP="006536A5">
      <w:pPr>
        <w:tabs>
          <w:tab w:val="left" w:pos="851"/>
        </w:tabs>
        <w:spacing w:before="120" w:after="120" w:line="360" w:lineRule="auto"/>
        <w:jc w:val="both"/>
        <w:rPr>
          <w:rFonts w:ascii="Arial" w:hAnsi="Arial" w:cs="Arial"/>
          <w:sz w:val="24"/>
          <w:szCs w:val="24"/>
        </w:rPr>
      </w:pPr>
      <w:r w:rsidRPr="00793FF1">
        <w:rPr>
          <w:rFonts w:ascii="Arial" w:hAnsi="Arial" w:cs="Arial"/>
          <w:sz w:val="24"/>
          <w:szCs w:val="24"/>
        </w:rPr>
        <w:t xml:space="preserve">        </w:t>
      </w:r>
      <w:proofErr w:type="gramStart"/>
      <w:r w:rsidRPr="00793FF1">
        <w:rPr>
          <w:rFonts w:ascii="Arial" w:hAnsi="Arial" w:cs="Arial"/>
          <w:i/>
          <w:sz w:val="16"/>
          <w:szCs w:val="16"/>
        </w:rPr>
        <w:t>Sumber :</w:t>
      </w:r>
      <w:proofErr w:type="gramEnd"/>
      <w:r w:rsidRPr="00793FF1">
        <w:rPr>
          <w:rFonts w:ascii="Arial" w:hAnsi="Arial" w:cs="Arial"/>
          <w:i/>
          <w:sz w:val="16"/>
          <w:szCs w:val="16"/>
        </w:rPr>
        <w:t xml:space="preserve"> BPKPAD Kab.Kepulauan Selayar.</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Tabel 3.5</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Target Perubahan Pendapatan Daerah Kabupaten Kepulauan Selayar</w:t>
      </w:r>
    </w:p>
    <w:p w:rsidR="006536A5" w:rsidRPr="00793FF1" w:rsidRDefault="006536A5" w:rsidP="006536A5">
      <w:pPr>
        <w:spacing w:after="0" w:line="360" w:lineRule="auto"/>
        <w:jc w:val="center"/>
        <w:rPr>
          <w:rFonts w:ascii="Arial" w:hAnsi="Arial" w:cs="Arial"/>
          <w:b/>
        </w:rPr>
      </w:pPr>
      <w:r w:rsidRPr="00793FF1">
        <w:rPr>
          <w:rFonts w:ascii="Arial" w:hAnsi="Arial" w:cs="Arial"/>
          <w:b/>
        </w:rPr>
        <w:t>Tahun Anggaran 2021</w:t>
      </w:r>
    </w:p>
    <w:tbl>
      <w:tblPr>
        <w:tblW w:w="8500" w:type="dxa"/>
        <w:tblLayout w:type="fixed"/>
        <w:tblLook w:val="04A0" w:firstRow="1" w:lastRow="0" w:firstColumn="1" w:lastColumn="0" w:noHBand="0" w:noVBand="1"/>
      </w:tblPr>
      <w:tblGrid>
        <w:gridCol w:w="846"/>
        <w:gridCol w:w="1843"/>
        <w:gridCol w:w="1701"/>
        <w:gridCol w:w="1701"/>
        <w:gridCol w:w="1559"/>
        <w:gridCol w:w="850"/>
      </w:tblGrid>
      <w:tr w:rsidR="00793FF1" w:rsidRPr="00793FF1" w:rsidTr="00BD793E">
        <w:trPr>
          <w:trHeight w:val="705"/>
          <w:tblHeader/>
        </w:trPr>
        <w:tc>
          <w:tcPr>
            <w:tcW w:w="846"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No.</w:t>
            </w:r>
          </w:p>
        </w:tc>
        <w:tc>
          <w:tcPr>
            <w:tcW w:w="1843"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Uraian</w:t>
            </w:r>
          </w:p>
        </w:tc>
        <w:tc>
          <w:tcPr>
            <w:tcW w:w="1701"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Target RKPD Pokok Tahun 2021</w:t>
            </w:r>
          </w:p>
        </w:tc>
        <w:tc>
          <w:tcPr>
            <w:tcW w:w="1701"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Target Perubahan RKPD Tahun 2021</w:t>
            </w:r>
          </w:p>
        </w:tc>
        <w:tc>
          <w:tcPr>
            <w:tcW w:w="1559"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Bertambah/Ber</w:t>
            </w:r>
          </w:p>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kurang</w:t>
            </w:r>
          </w:p>
        </w:tc>
        <w:tc>
          <w:tcPr>
            <w:tcW w:w="850"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w:t>
            </w:r>
          </w:p>
        </w:tc>
      </w:tr>
      <w:tr w:rsidR="00793FF1" w:rsidRPr="00793FF1" w:rsidTr="00BD793E">
        <w:trPr>
          <w:trHeight w:val="300"/>
          <w:tblHeader/>
        </w:trPr>
        <w:tc>
          <w:tcPr>
            <w:tcW w:w="846"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i/>
                <w:iCs/>
                <w:sz w:val="20"/>
                <w:szCs w:val="20"/>
              </w:rPr>
            </w:pPr>
            <w:r w:rsidRPr="00793FF1">
              <w:rPr>
                <w:rFonts w:ascii="Arial Narrow" w:eastAsia="Times New Roman" w:hAnsi="Arial Narrow" w:cs="Calibri"/>
                <w:i/>
                <w:iCs/>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i/>
                <w:iCs/>
                <w:sz w:val="20"/>
                <w:szCs w:val="20"/>
              </w:rPr>
            </w:pPr>
            <w:r w:rsidRPr="00793FF1">
              <w:rPr>
                <w:rFonts w:ascii="Arial Narrow" w:eastAsia="Times New Roman" w:hAnsi="Arial Narrow" w:cs="Calibri"/>
                <w:i/>
                <w:iCs/>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i/>
                <w:iCs/>
                <w:sz w:val="20"/>
                <w:szCs w:val="20"/>
              </w:rPr>
            </w:pPr>
            <w:r w:rsidRPr="00793FF1">
              <w:rPr>
                <w:rFonts w:ascii="Arial Narrow" w:eastAsia="Times New Roman" w:hAnsi="Arial Narrow" w:cs="Calibri"/>
                <w:i/>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i/>
                <w:iCs/>
                <w:sz w:val="20"/>
                <w:szCs w:val="20"/>
              </w:rPr>
            </w:pPr>
            <w:r w:rsidRPr="00793FF1">
              <w:rPr>
                <w:rFonts w:ascii="Arial Narrow" w:eastAsia="Times New Roman" w:hAnsi="Arial Narrow" w:cs="Calibri"/>
                <w:i/>
                <w:iCs/>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i/>
                <w:iCs/>
                <w:sz w:val="20"/>
                <w:szCs w:val="20"/>
              </w:rPr>
            </w:pPr>
            <w:r w:rsidRPr="00793FF1">
              <w:rPr>
                <w:rFonts w:ascii="Arial Narrow" w:eastAsia="Times New Roman" w:hAnsi="Arial Narrow" w:cs="Calibri"/>
                <w:i/>
                <w:iCs/>
                <w:sz w:val="20"/>
                <w:szCs w:val="20"/>
              </w:rPr>
              <w:t>5 = (4 - 3)</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i/>
                <w:iCs/>
                <w:sz w:val="20"/>
                <w:szCs w:val="20"/>
              </w:rPr>
            </w:pPr>
            <w:r w:rsidRPr="00793FF1">
              <w:rPr>
                <w:rFonts w:ascii="Arial Narrow" w:eastAsia="Times New Roman" w:hAnsi="Arial Narrow" w:cs="Calibri"/>
                <w:i/>
                <w:iCs/>
                <w:sz w:val="20"/>
                <w:szCs w:val="20"/>
              </w:rPr>
              <w:t>6</w:t>
            </w:r>
          </w:p>
        </w:tc>
      </w:tr>
      <w:tr w:rsidR="00793FF1" w:rsidRPr="00793FF1" w:rsidTr="00BD793E">
        <w:trPr>
          <w:trHeight w:val="330"/>
        </w:trPr>
        <w:tc>
          <w:tcPr>
            <w:tcW w:w="846" w:type="dxa"/>
            <w:tcBorders>
              <w:top w:val="single" w:sz="4" w:space="0" w:color="auto"/>
              <w:left w:val="single" w:sz="4" w:space="0" w:color="auto"/>
              <w:bottom w:val="single" w:sz="4" w:space="0" w:color="auto"/>
              <w:right w:val="single" w:sz="4" w:space="0" w:color="auto"/>
            </w:tcBorders>
            <w:shd w:val="clear" w:color="000000" w:fill="B4C6E7"/>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4</w:t>
            </w:r>
          </w:p>
        </w:tc>
        <w:tc>
          <w:tcPr>
            <w:tcW w:w="1843" w:type="dxa"/>
            <w:tcBorders>
              <w:top w:val="nil"/>
              <w:left w:val="nil"/>
              <w:bottom w:val="single" w:sz="4" w:space="0" w:color="auto"/>
              <w:right w:val="single" w:sz="4" w:space="0" w:color="auto"/>
            </w:tcBorders>
            <w:shd w:val="clear" w:color="000000" w:fill="B4C6E7"/>
            <w:vAlign w:val="center"/>
            <w:hideMark/>
          </w:tcPr>
          <w:p w:rsidR="006536A5" w:rsidRPr="00793FF1" w:rsidRDefault="006536A5" w:rsidP="00BD793E">
            <w:pPr>
              <w:spacing w:after="0" w:line="240" w:lineRule="auto"/>
              <w:rPr>
                <w:rFonts w:ascii="Arial Narrow" w:eastAsia="Times New Roman" w:hAnsi="Arial Narrow" w:cs="Calibri"/>
                <w:b/>
                <w:bCs/>
                <w:sz w:val="20"/>
                <w:szCs w:val="20"/>
              </w:rPr>
            </w:pPr>
            <w:r w:rsidRPr="00793FF1">
              <w:rPr>
                <w:rFonts w:ascii="Arial Narrow" w:eastAsia="Times New Roman" w:hAnsi="Arial Narrow" w:cs="Calibri"/>
                <w:b/>
                <w:bCs/>
                <w:sz w:val="20"/>
                <w:szCs w:val="20"/>
              </w:rPr>
              <w:t>PENDAPATAN DAERAH</w:t>
            </w:r>
          </w:p>
        </w:tc>
        <w:tc>
          <w:tcPr>
            <w:tcW w:w="1701" w:type="dxa"/>
            <w:tcBorders>
              <w:top w:val="nil"/>
              <w:left w:val="nil"/>
              <w:bottom w:val="single" w:sz="4" w:space="0" w:color="auto"/>
              <w:right w:val="single" w:sz="4" w:space="0" w:color="auto"/>
            </w:tcBorders>
            <w:shd w:val="clear" w:color="000000" w:fill="B4C6E7"/>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w:t>
            </w:r>
          </w:p>
        </w:tc>
        <w:tc>
          <w:tcPr>
            <w:tcW w:w="1701" w:type="dxa"/>
            <w:tcBorders>
              <w:top w:val="nil"/>
              <w:left w:val="nil"/>
              <w:bottom w:val="single" w:sz="4" w:space="0" w:color="auto"/>
              <w:right w:val="single" w:sz="4" w:space="0" w:color="auto"/>
            </w:tcBorders>
            <w:shd w:val="clear" w:color="000000" w:fill="B4C6E7"/>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w:t>
            </w:r>
          </w:p>
        </w:tc>
        <w:tc>
          <w:tcPr>
            <w:tcW w:w="1559" w:type="dxa"/>
            <w:tcBorders>
              <w:top w:val="nil"/>
              <w:left w:val="nil"/>
              <w:bottom w:val="single" w:sz="4" w:space="0" w:color="auto"/>
              <w:right w:val="single" w:sz="4" w:space="0" w:color="auto"/>
            </w:tcBorders>
            <w:shd w:val="clear" w:color="000000" w:fill="B4C6E7"/>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000000" w:fill="B4C6E7"/>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w:t>
            </w:r>
          </w:p>
        </w:tc>
      </w:tr>
      <w:tr w:rsidR="00793FF1" w:rsidRPr="00793FF1" w:rsidTr="00BD793E">
        <w:trPr>
          <w:trHeight w:val="330"/>
        </w:trPr>
        <w:tc>
          <w:tcPr>
            <w:tcW w:w="846"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4.1</w:t>
            </w:r>
          </w:p>
        </w:tc>
        <w:tc>
          <w:tcPr>
            <w:tcW w:w="1843"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rPr>
                <w:rFonts w:ascii="Arial Narrow" w:eastAsia="Times New Roman" w:hAnsi="Arial Narrow" w:cs="Calibri"/>
                <w:b/>
                <w:bCs/>
                <w:sz w:val="20"/>
                <w:szCs w:val="20"/>
              </w:rPr>
            </w:pPr>
            <w:r w:rsidRPr="00793FF1">
              <w:rPr>
                <w:rFonts w:ascii="Arial Narrow" w:eastAsia="Times New Roman" w:hAnsi="Arial Narrow" w:cs="Calibri"/>
                <w:b/>
                <w:bCs/>
                <w:sz w:val="20"/>
                <w:szCs w:val="20"/>
              </w:rPr>
              <w:t>Pendapatan Asli daerah</w:t>
            </w:r>
          </w:p>
        </w:tc>
        <w:tc>
          <w:tcPr>
            <w:tcW w:w="1701"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87,072,440,000 </w:t>
            </w:r>
          </w:p>
        </w:tc>
        <w:tc>
          <w:tcPr>
            <w:tcW w:w="1701"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89,283,829,000 </w:t>
            </w:r>
          </w:p>
        </w:tc>
        <w:tc>
          <w:tcPr>
            <w:tcW w:w="1559"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2,211,389,000 </w:t>
            </w:r>
          </w:p>
        </w:tc>
        <w:tc>
          <w:tcPr>
            <w:tcW w:w="850"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2.54 </w:t>
            </w:r>
          </w:p>
        </w:tc>
      </w:tr>
      <w:tr w:rsidR="00793FF1" w:rsidRPr="00793FF1" w:rsidTr="00BD793E">
        <w:trPr>
          <w:trHeight w:val="33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4.1.1</w:t>
            </w:r>
          </w:p>
        </w:tc>
        <w:tc>
          <w:tcPr>
            <w:tcW w:w="1843"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Pajak Daerah</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10,560,782,000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10,560,782,000 </w:t>
            </w:r>
          </w:p>
        </w:tc>
        <w:tc>
          <w:tcPr>
            <w:tcW w:w="1559"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330"/>
        </w:trPr>
        <w:tc>
          <w:tcPr>
            <w:tcW w:w="846"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4.1.2</w:t>
            </w:r>
          </w:p>
        </w:tc>
        <w:tc>
          <w:tcPr>
            <w:tcW w:w="1843"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Retribusi Daerah</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2,568,372,000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2,568,372,000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66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4.1.3</w:t>
            </w:r>
          </w:p>
        </w:tc>
        <w:tc>
          <w:tcPr>
            <w:tcW w:w="1843"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Hasil Pengelolaan Keuangan Daerah yang dipisahkan</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10,916,250,000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10,916,250,000 </w:t>
            </w:r>
          </w:p>
        </w:tc>
        <w:tc>
          <w:tcPr>
            <w:tcW w:w="1559"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330"/>
        </w:trPr>
        <w:tc>
          <w:tcPr>
            <w:tcW w:w="846"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4.1.4</w:t>
            </w:r>
          </w:p>
        </w:tc>
        <w:tc>
          <w:tcPr>
            <w:tcW w:w="1843"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Lain-Lain PAD yang sah</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63,027,036,000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65,238,425,000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2,211,389,000 </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3.51 </w:t>
            </w:r>
          </w:p>
        </w:tc>
      </w:tr>
      <w:tr w:rsidR="00793FF1" w:rsidRPr="00793FF1" w:rsidTr="00BD793E">
        <w:trPr>
          <w:trHeight w:val="330"/>
        </w:trPr>
        <w:tc>
          <w:tcPr>
            <w:tcW w:w="846"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4.2</w:t>
            </w:r>
          </w:p>
        </w:tc>
        <w:tc>
          <w:tcPr>
            <w:tcW w:w="1843"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rPr>
                <w:rFonts w:ascii="Arial Narrow" w:eastAsia="Times New Roman" w:hAnsi="Arial Narrow" w:cs="Calibri"/>
                <w:b/>
                <w:bCs/>
                <w:sz w:val="20"/>
                <w:szCs w:val="20"/>
              </w:rPr>
            </w:pPr>
            <w:r w:rsidRPr="00793FF1">
              <w:rPr>
                <w:rFonts w:ascii="Arial Narrow" w:eastAsia="Times New Roman" w:hAnsi="Arial Narrow" w:cs="Calibri"/>
                <w:b/>
                <w:bCs/>
                <w:sz w:val="20"/>
                <w:szCs w:val="20"/>
              </w:rPr>
              <w:t>Pendapatan Transfer</w:t>
            </w:r>
          </w:p>
        </w:tc>
        <w:tc>
          <w:tcPr>
            <w:tcW w:w="1701"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986,166,240,000 </w:t>
            </w:r>
          </w:p>
        </w:tc>
        <w:tc>
          <w:tcPr>
            <w:tcW w:w="1701"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936,106,368,039 </w:t>
            </w:r>
          </w:p>
        </w:tc>
        <w:tc>
          <w:tcPr>
            <w:tcW w:w="1559"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(50,059,871,961)</w:t>
            </w:r>
          </w:p>
        </w:tc>
        <w:tc>
          <w:tcPr>
            <w:tcW w:w="850"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(5.08)</w:t>
            </w:r>
          </w:p>
        </w:tc>
      </w:tr>
      <w:tr w:rsidR="00793FF1" w:rsidRPr="00793FF1" w:rsidTr="00BD793E">
        <w:trPr>
          <w:trHeight w:val="330"/>
        </w:trPr>
        <w:tc>
          <w:tcPr>
            <w:tcW w:w="846"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4.2.1</w:t>
            </w:r>
          </w:p>
        </w:tc>
        <w:tc>
          <w:tcPr>
            <w:tcW w:w="1843"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b/>
                <w:bCs/>
                <w:sz w:val="20"/>
                <w:szCs w:val="20"/>
              </w:rPr>
            </w:pPr>
            <w:r w:rsidRPr="00793FF1">
              <w:rPr>
                <w:rFonts w:ascii="Arial Narrow" w:eastAsia="Times New Roman" w:hAnsi="Arial Narrow" w:cs="Calibri"/>
                <w:b/>
                <w:bCs/>
                <w:sz w:val="20"/>
                <w:szCs w:val="20"/>
              </w:rPr>
              <w:t>Transfer Pemerintah Pusat</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912,673,168,000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887,613,296,039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(25,059,871,961)</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(2.75)</w:t>
            </w:r>
          </w:p>
        </w:tc>
      </w:tr>
      <w:tr w:rsidR="00793FF1" w:rsidRPr="00793FF1" w:rsidTr="00BD793E">
        <w:trPr>
          <w:trHeight w:val="33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4.2.1.1</w:t>
            </w:r>
          </w:p>
        </w:tc>
        <w:tc>
          <w:tcPr>
            <w:tcW w:w="1843"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Dana Perimbangan</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806,065,488,000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781,005,616,039 </w:t>
            </w:r>
          </w:p>
        </w:tc>
        <w:tc>
          <w:tcPr>
            <w:tcW w:w="1559"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(25,059,871,961)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(3.11)</w:t>
            </w:r>
          </w:p>
        </w:tc>
      </w:tr>
      <w:tr w:rsidR="00793FF1" w:rsidRPr="00793FF1" w:rsidTr="00BD793E">
        <w:trPr>
          <w:trHeight w:val="330"/>
        </w:trPr>
        <w:tc>
          <w:tcPr>
            <w:tcW w:w="846"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4.4.1.1.1</w:t>
            </w:r>
          </w:p>
        </w:tc>
        <w:tc>
          <w:tcPr>
            <w:tcW w:w="1843"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b/>
                <w:bCs/>
                <w:sz w:val="20"/>
                <w:szCs w:val="20"/>
              </w:rPr>
            </w:pPr>
            <w:r w:rsidRPr="00793FF1">
              <w:rPr>
                <w:rFonts w:ascii="Arial Narrow" w:eastAsia="Times New Roman" w:hAnsi="Arial Narrow" w:cs="Calibri"/>
                <w:b/>
                <w:bCs/>
                <w:sz w:val="20"/>
                <w:szCs w:val="20"/>
              </w:rPr>
              <w:t>a. Transfer Umum</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592,290,276,000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575,417,029,039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(16,873,246,961)</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(2.85)</w:t>
            </w:r>
          </w:p>
        </w:tc>
      </w:tr>
      <w:tr w:rsidR="00793FF1" w:rsidRPr="00793FF1" w:rsidTr="00BD793E">
        <w:trPr>
          <w:trHeight w:val="66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4.4.1.1.1.1</w:t>
            </w:r>
          </w:p>
        </w:tc>
        <w:tc>
          <w:tcPr>
            <w:tcW w:w="1843"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a.1. Dana Bagi Hasil Pajak/bagi Hasil Bukan Pajak</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13,609,334,000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15,269,706,039 </w:t>
            </w:r>
          </w:p>
        </w:tc>
        <w:tc>
          <w:tcPr>
            <w:tcW w:w="1559"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1,660,372,039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12.20 </w:t>
            </w:r>
          </w:p>
        </w:tc>
      </w:tr>
      <w:tr w:rsidR="00793FF1" w:rsidRPr="00793FF1" w:rsidTr="00BD793E">
        <w:trPr>
          <w:trHeight w:val="330"/>
        </w:trPr>
        <w:tc>
          <w:tcPr>
            <w:tcW w:w="846"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4.4.1.1.1.2</w:t>
            </w:r>
          </w:p>
        </w:tc>
        <w:tc>
          <w:tcPr>
            <w:tcW w:w="1843"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a.2. Dana Alokasi Umum</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578,680,942,000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560,147,323,000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(18,533,619,000)</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(3.20)</w:t>
            </w:r>
          </w:p>
        </w:tc>
      </w:tr>
      <w:tr w:rsidR="00793FF1" w:rsidRPr="00793FF1" w:rsidTr="00BD793E">
        <w:trPr>
          <w:trHeight w:val="33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4.4.1.1.2</w:t>
            </w:r>
          </w:p>
        </w:tc>
        <w:tc>
          <w:tcPr>
            <w:tcW w:w="1843"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b/>
                <w:bCs/>
                <w:sz w:val="20"/>
                <w:szCs w:val="20"/>
              </w:rPr>
            </w:pPr>
            <w:r w:rsidRPr="00793FF1">
              <w:rPr>
                <w:rFonts w:ascii="Arial Narrow" w:eastAsia="Times New Roman" w:hAnsi="Arial Narrow" w:cs="Calibri"/>
                <w:b/>
                <w:bCs/>
                <w:sz w:val="20"/>
                <w:szCs w:val="20"/>
              </w:rPr>
              <w:t>b. Transfer khusus</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213,775,212,000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205,588,587,000 </w:t>
            </w:r>
          </w:p>
        </w:tc>
        <w:tc>
          <w:tcPr>
            <w:tcW w:w="1559"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(8,186,625,000)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(3.83)</w:t>
            </w:r>
          </w:p>
        </w:tc>
      </w:tr>
      <w:tr w:rsidR="00793FF1" w:rsidRPr="00793FF1" w:rsidTr="00BD793E">
        <w:trPr>
          <w:trHeight w:val="495"/>
        </w:trPr>
        <w:tc>
          <w:tcPr>
            <w:tcW w:w="846"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4.4.1.1.2.1</w:t>
            </w:r>
          </w:p>
        </w:tc>
        <w:tc>
          <w:tcPr>
            <w:tcW w:w="1843"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b.1. Dana Alokasi Khusus Fisik</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124,946,882,000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116,760,257,000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(8,186,625,000)</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(6.55)</w:t>
            </w:r>
          </w:p>
        </w:tc>
      </w:tr>
      <w:tr w:rsidR="00793FF1" w:rsidRPr="00793FF1" w:rsidTr="00BD793E">
        <w:trPr>
          <w:trHeight w:val="66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4.4.1.1.2.2</w:t>
            </w:r>
          </w:p>
        </w:tc>
        <w:tc>
          <w:tcPr>
            <w:tcW w:w="1843"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b.1. Dana Alokasi Khusus Non-Fisik</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88,828,330,000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88,828,330,000 </w:t>
            </w:r>
          </w:p>
        </w:tc>
        <w:tc>
          <w:tcPr>
            <w:tcW w:w="1559"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 </w:t>
            </w:r>
          </w:p>
        </w:tc>
      </w:tr>
      <w:tr w:rsidR="00793FF1" w:rsidRPr="00793FF1" w:rsidTr="00BD793E">
        <w:trPr>
          <w:trHeight w:val="360"/>
        </w:trPr>
        <w:tc>
          <w:tcPr>
            <w:tcW w:w="846"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4.2.1.2</w:t>
            </w:r>
          </w:p>
        </w:tc>
        <w:tc>
          <w:tcPr>
            <w:tcW w:w="1843"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Dana Insentif Daerah</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21,085,165,000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21,085,165,000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 </w:t>
            </w:r>
          </w:p>
        </w:tc>
      </w:tr>
      <w:tr w:rsidR="00793FF1" w:rsidRPr="00793FF1" w:rsidTr="00BD793E">
        <w:trPr>
          <w:trHeight w:val="36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4.2.1.3</w:t>
            </w:r>
          </w:p>
        </w:tc>
        <w:tc>
          <w:tcPr>
            <w:tcW w:w="1843"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Dana Otonomi Khusus</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559"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 </w:t>
            </w:r>
          </w:p>
        </w:tc>
      </w:tr>
      <w:tr w:rsidR="00793FF1" w:rsidRPr="00793FF1" w:rsidTr="00BD793E">
        <w:trPr>
          <w:trHeight w:val="360"/>
        </w:trPr>
        <w:tc>
          <w:tcPr>
            <w:tcW w:w="846"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4.2.1.4</w:t>
            </w:r>
          </w:p>
        </w:tc>
        <w:tc>
          <w:tcPr>
            <w:tcW w:w="1843"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Dana Keistimewaan</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 </w:t>
            </w:r>
          </w:p>
        </w:tc>
      </w:tr>
      <w:tr w:rsidR="00793FF1" w:rsidRPr="00793FF1" w:rsidTr="00BD793E">
        <w:trPr>
          <w:trHeight w:val="33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4.2.1.5</w:t>
            </w:r>
          </w:p>
        </w:tc>
        <w:tc>
          <w:tcPr>
            <w:tcW w:w="1843"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Dana Desa</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85,522,515,000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85,522,515,000 </w:t>
            </w:r>
          </w:p>
        </w:tc>
        <w:tc>
          <w:tcPr>
            <w:tcW w:w="1559"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 </w:t>
            </w:r>
          </w:p>
        </w:tc>
      </w:tr>
      <w:tr w:rsidR="00793FF1" w:rsidRPr="00793FF1" w:rsidTr="00BD793E">
        <w:trPr>
          <w:trHeight w:val="330"/>
        </w:trPr>
        <w:tc>
          <w:tcPr>
            <w:tcW w:w="846"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4.2.2</w:t>
            </w:r>
          </w:p>
        </w:tc>
        <w:tc>
          <w:tcPr>
            <w:tcW w:w="1843"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b/>
                <w:bCs/>
                <w:sz w:val="20"/>
                <w:szCs w:val="20"/>
              </w:rPr>
            </w:pPr>
            <w:r w:rsidRPr="00793FF1">
              <w:rPr>
                <w:rFonts w:ascii="Arial Narrow" w:eastAsia="Times New Roman" w:hAnsi="Arial Narrow" w:cs="Calibri"/>
                <w:b/>
                <w:bCs/>
                <w:sz w:val="20"/>
                <w:szCs w:val="20"/>
              </w:rPr>
              <w:t>Transfer Antar Daerah</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73,493,072,000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48,493,072,000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(25,000,000,000)</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(34.02)</w:t>
            </w:r>
          </w:p>
        </w:tc>
      </w:tr>
      <w:tr w:rsidR="00793FF1" w:rsidRPr="00793FF1" w:rsidTr="00BD793E">
        <w:trPr>
          <w:trHeight w:val="33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4.2.2.1</w:t>
            </w:r>
          </w:p>
        </w:tc>
        <w:tc>
          <w:tcPr>
            <w:tcW w:w="1843"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Pendapatan Bagi Hasil</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32,100,000,000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32,100,000,000 </w:t>
            </w:r>
          </w:p>
        </w:tc>
        <w:tc>
          <w:tcPr>
            <w:tcW w:w="1559"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 </w:t>
            </w:r>
          </w:p>
        </w:tc>
      </w:tr>
      <w:tr w:rsidR="00793FF1" w:rsidRPr="00793FF1" w:rsidTr="00BD793E">
        <w:trPr>
          <w:trHeight w:val="330"/>
        </w:trPr>
        <w:tc>
          <w:tcPr>
            <w:tcW w:w="846"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4.2.2.2</w:t>
            </w:r>
          </w:p>
        </w:tc>
        <w:tc>
          <w:tcPr>
            <w:tcW w:w="1843"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Bantuan Keuangan</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41,393,072,000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16,393,072,000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(25,000,000,000)</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(60.40)</w:t>
            </w:r>
          </w:p>
        </w:tc>
      </w:tr>
      <w:tr w:rsidR="00793FF1" w:rsidRPr="00793FF1" w:rsidTr="00BD793E">
        <w:trPr>
          <w:trHeight w:val="660"/>
        </w:trPr>
        <w:tc>
          <w:tcPr>
            <w:tcW w:w="846"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lastRenderedPageBreak/>
              <w:t>4.3</w:t>
            </w:r>
          </w:p>
        </w:tc>
        <w:tc>
          <w:tcPr>
            <w:tcW w:w="1843"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rPr>
                <w:rFonts w:ascii="Arial Narrow" w:eastAsia="Times New Roman" w:hAnsi="Arial Narrow" w:cs="Calibri"/>
                <w:b/>
                <w:bCs/>
                <w:sz w:val="20"/>
                <w:szCs w:val="20"/>
              </w:rPr>
            </w:pPr>
            <w:r w:rsidRPr="00793FF1">
              <w:rPr>
                <w:rFonts w:ascii="Arial Narrow" w:eastAsia="Times New Roman" w:hAnsi="Arial Narrow" w:cs="Calibri"/>
                <w:b/>
                <w:bCs/>
                <w:sz w:val="20"/>
                <w:szCs w:val="20"/>
              </w:rPr>
              <w:t>Lain-Lain Pendapatan Daerah yang Sah</w:t>
            </w:r>
          </w:p>
        </w:tc>
        <w:tc>
          <w:tcPr>
            <w:tcW w:w="1701"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19,019,280,000 </w:t>
            </w:r>
          </w:p>
        </w:tc>
        <w:tc>
          <w:tcPr>
            <w:tcW w:w="1701"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23,457,150,000 </w:t>
            </w:r>
          </w:p>
        </w:tc>
        <w:tc>
          <w:tcPr>
            <w:tcW w:w="1559"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4,437,870,000 </w:t>
            </w:r>
          </w:p>
        </w:tc>
        <w:tc>
          <w:tcPr>
            <w:tcW w:w="850"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23.33 </w:t>
            </w:r>
          </w:p>
        </w:tc>
      </w:tr>
      <w:tr w:rsidR="00793FF1" w:rsidRPr="00793FF1" w:rsidTr="00BD793E">
        <w:trPr>
          <w:trHeight w:val="330"/>
        </w:trPr>
        <w:tc>
          <w:tcPr>
            <w:tcW w:w="846"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4.3.1</w:t>
            </w:r>
          </w:p>
        </w:tc>
        <w:tc>
          <w:tcPr>
            <w:tcW w:w="1843"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Hibah</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33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4.3.2</w:t>
            </w:r>
          </w:p>
        </w:tc>
        <w:tc>
          <w:tcPr>
            <w:tcW w:w="1843"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Dana darurat</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559"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990"/>
        </w:trPr>
        <w:tc>
          <w:tcPr>
            <w:tcW w:w="846"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4.3.3</w:t>
            </w:r>
          </w:p>
        </w:tc>
        <w:tc>
          <w:tcPr>
            <w:tcW w:w="1843"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Lain-lain pendapatan sesuai dengan ketentuan peraturan perundang-undangan.</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19,019,280,000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23,457,150,000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4,437,870,000 </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23.33 </w:t>
            </w:r>
          </w:p>
        </w:tc>
      </w:tr>
      <w:tr w:rsidR="00793FF1" w:rsidRPr="00793FF1" w:rsidTr="00BD793E">
        <w:trPr>
          <w:trHeight w:val="122"/>
        </w:trPr>
        <w:tc>
          <w:tcPr>
            <w:tcW w:w="26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p>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Jumlah Pendapatan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1,092,257,960,000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1,048,847,347,039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(43,410,612,961)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(3.97)</w:t>
            </w:r>
          </w:p>
        </w:tc>
      </w:tr>
    </w:tbl>
    <w:p w:rsidR="006536A5" w:rsidRPr="00793FF1" w:rsidRDefault="006536A5" w:rsidP="006536A5">
      <w:pPr>
        <w:spacing w:before="120" w:after="120" w:line="360" w:lineRule="auto"/>
        <w:rPr>
          <w:rFonts w:ascii="Arial" w:hAnsi="Arial" w:cs="Arial"/>
          <w:sz w:val="24"/>
          <w:szCs w:val="24"/>
          <w:lang w:val="en-ID"/>
        </w:rPr>
      </w:pPr>
      <w:proofErr w:type="gramStart"/>
      <w:r w:rsidRPr="00793FF1">
        <w:rPr>
          <w:rFonts w:ascii="Arial" w:hAnsi="Arial" w:cs="Arial"/>
          <w:i/>
          <w:sz w:val="16"/>
          <w:szCs w:val="16"/>
        </w:rPr>
        <w:t>Sumber :</w:t>
      </w:r>
      <w:proofErr w:type="gramEnd"/>
      <w:r w:rsidRPr="00793FF1">
        <w:rPr>
          <w:rFonts w:ascii="Arial" w:hAnsi="Arial" w:cs="Arial"/>
          <w:i/>
          <w:sz w:val="16"/>
          <w:szCs w:val="16"/>
        </w:rPr>
        <w:t xml:space="preserve"> BPKPAD Kab.Kepulauan Selayar, 2021.</w:t>
      </w:r>
    </w:p>
    <w:p w:rsidR="006536A5" w:rsidRPr="00793FF1" w:rsidRDefault="006536A5" w:rsidP="006536A5">
      <w:pPr>
        <w:tabs>
          <w:tab w:val="left" w:pos="851"/>
        </w:tabs>
        <w:spacing w:after="120" w:line="360" w:lineRule="auto"/>
        <w:jc w:val="both"/>
        <w:rPr>
          <w:rFonts w:ascii="Arial" w:hAnsi="Arial" w:cs="Arial"/>
          <w:sz w:val="24"/>
          <w:szCs w:val="24"/>
        </w:rPr>
      </w:pPr>
      <w:r w:rsidRPr="00793FF1">
        <w:rPr>
          <w:rFonts w:ascii="Arial" w:hAnsi="Arial" w:cs="Arial"/>
          <w:sz w:val="24"/>
          <w:szCs w:val="24"/>
        </w:rPr>
        <w:tab/>
        <w:t xml:space="preserve">Berdasarkan tabel di atas, terdapat selisih yang cukup besar antara pendapatan pada RKPD Pokok dan Perubahan RKPD. Pendapatan pada Perubahan RKPD menurun cukup besar akibat berkurangnya Pendapatan Transfer. Penurunan Pendapatan Transfer diakibatkan oleh berkurangnya Transfer Pemerintah Pusat sebesar Rp.25,059,871,961.00 dan Transfer Antar Daerah sebesar Rp.25,000,000,000.00. Penurunan Transfer Pemerintah Pusat khususnya Dana Alokasi Umum (DAU) merupakan kebijakan pemerintah pusat yang memangkas dana transfer ke daerah untuk percepatan penanggulangan COVID-19, sesuai Peraturan Menteri Keuangan Republik Indonesia Nomor 17/PMK.07/2021 tentang Pengelolaan Transfer ke Daerah dan Dana Desa Tahun Anggaran 2021 Dalam Rangka Mendukung Penanganan Pandemi Corona Virus Disease 19 (COVID-19) dan Dampaknya. Sedangkan menurunnya perolehan Dana Alokasi Khusus (DAK) Fisik disebabkan oleh kebijakan pemerintah pusat mengurangi ruang fiskal untuk anggaran infrastruktur. Selain itu terdapat beberapa data teknis dan </w:t>
      </w:r>
      <w:r w:rsidRPr="00793FF1">
        <w:rPr>
          <w:rFonts w:ascii="Arial" w:hAnsi="Arial" w:cs="Arial"/>
          <w:i/>
          <w:sz w:val="24"/>
          <w:szCs w:val="24"/>
        </w:rPr>
        <w:t xml:space="preserve">readiness criteria </w:t>
      </w:r>
      <w:r w:rsidRPr="00793FF1">
        <w:rPr>
          <w:rFonts w:ascii="Arial" w:hAnsi="Arial" w:cs="Arial"/>
          <w:sz w:val="24"/>
          <w:szCs w:val="24"/>
        </w:rPr>
        <w:t>yang belum mampu disediakan oleh OPD Pengelola DAK Fisik. Sementara itu, defisit keuangan yang dialami Provinsi Sulawesi Selatan menyebabkan terpotongnya bantuan keuangan dari provinsi kepada Kepulauan Selayar sehingga mengurangi anggaran pada pos Transfer Antar Daerah.</w:t>
      </w:r>
    </w:p>
    <w:p w:rsidR="006536A5" w:rsidRPr="00793FF1" w:rsidRDefault="006536A5" w:rsidP="00611D25">
      <w:pPr>
        <w:pStyle w:val="ListParagraph"/>
        <w:numPr>
          <w:ilvl w:val="0"/>
          <w:numId w:val="63"/>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rPr>
        <w:t>Perubahan Kebijakan Belanja Daerah</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Berdasarkan Undang-Undang Nomor 23 Tahun 2014, belanja daerah digunakan untuk mendanai pelaksanaan urusan pemerintahan konkuren yang menjadi kewenangan daerah dan pelaksanaan tugas organisasi yang </w:t>
      </w:r>
      <w:r w:rsidRPr="00793FF1">
        <w:rPr>
          <w:rFonts w:ascii="Arial" w:hAnsi="Arial" w:cs="Arial"/>
          <w:sz w:val="24"/>
          <w:szCs w:val="24"/>
          <w:lang w:val="en-ID"/>
        </w:rPr>
        <w:lastRenderedPageBreak/>
        <w:t xml:space="preserve">ditetapkan sesuai dengan ketentuan perundang-undangan dan mengacu pada Peraturan Pemerintah Nomor 18 Tahun 2016 tentang Perangkat Daerah. Kebijakan Belanja Daerah dalam penyusunan RAPBD Kabupaten Kepulauan Selayar Tahun 2021 digunakan untuk mendanai pelaksanaan urusan pemerintahan konkuren yang menjadi kewenangan daerah dan pelaksanaan tugas organisasi yang ditetapkan sesuai dengah ketentuan perundang-undangan.  </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Dalam rangka mewujudkan sinergitas rencana program dan kegiatan prioritas pembangunan daerah tahun 2021 dan menindaklanjuti Peraturan Pemerintah Nomor 12 Tahun 2019, maka kebijakan Belanja Daerah terdiri dari Belanja Operasi yang terbagi menjadi Belanja Pegawai, Belanja Barang dan Jasa, Belanja Hibah dan Belanja Bantuan Sosial. Selanjutnya Belanja Modal terdiri dari Belanja Tanah, Belanja Peralatan dan Mesin, Belanja Bangunan dan Gedung, Belanja Jalan, Irigasi dan Jaringan, Belanja Aset Tetap Lainnya dan Belanja Aset Lainnya. Kemudian Belanja Tidak terduga hanya terdiri dari Belanja Tidak terduga dan Belanja Transfer terdiri dari Belanja Bagi Hasil dan Belanja Bantuan Keuangan.</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Kebijakan belanja daerah ini disusun berdasarkan prinsip-prinsip penganggaran dengan pendekatan anggaran berbasis kinerja, dan memperhatikan prioritas pembangunan sesuai permasalahan serta perkiraan situasi dan kondisi pada tahun mendatang, secara selektif, akuntabel dan transparan. </w:t>
      </w:r>
    </w:p>
    <w:p w:rsidR="006536A5" w:rsidRPr="00793FF1" w:rsidRDefault="006536A5" w:rsidP="006536A5">
      <w:pPr>
        <w:spacing w:after="12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Struktur Belanja dalam APBD Tahun Anggaran 2021 disusun berdasarkan Peraturan Pemerintah Nomor 12 Tahun 2019 tentang Pengelolaan Keuangan Daerah yang dibagi ke dalam Belanja Operasi, Belanja Modal, Belanja Tidak Terduga dan Belanja Transfer dengan rincian sebagai berikut: </w:t>
      </w:r>
    </w:p>
    <w:p w:rsidR="006536A5" w:rsidRPr="00793FF1" w:rsidRDefault="006536A5" w:rsidP="00611D25">
      <w:pPr>
        <w:pStyle w:val="ListParagraph"/>
        <w:numPr>
          <w:ilvl w:val="0"/>
          <w:numId w:val="65"/>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rPr>
        <w:t>Belanja Operasi</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Berdasarkan Pasal 56 Peraturan Pemerintah Nomor 12 Tahun 2019 tentang Pengelolaan Keuangan Daerah, menyatakan bahwa Kelompok Belanja Operasi yang meliputi Belanja Pegawai, Barang dan Jasa, Hibah dan Bantuan Sosial merupakan pengeluaran anggaran untuk kegiatan seharihari pemerintah daerah yang memberi manfaat jangka pendek, yang meliputi hal-hal sebagai berikut : </w:t>
      </w:r>
    </w:p>
    <w:p w:rsidR="00CF2BA0" w:rsidRPr="00793FF1" w:rsidRDefault="00CF2BA0" w:rsidP="006536A5">
      <w:pPr>
        <w:spacing w:after="0" w:line="360" w:lineRule="auto"/>
        <w:ind w:firstLine="851"/>
        <w:jc w:val="both"/>
        <w:rPr>
          <w:rFonts w:ascii="Arial" w:hAnsi="Arial" w:cs="Arial"/>
          <w:sz w:val="24"/>
          <w:szCs w:val="24"/>
          <w:lang w:val="en-ID"/>
        </w:rPr>
      </w:pPr>
    </w:p>
    <w:p w:rsidR="006536A5" w:rsidRPr="00793FF1" w:rsidRDefault="006536A5" w:rsidP="00611D25">
      <w:pPr>
        <w:pStyle w:val="ListParagraph"/>
        <w:numPr>
          <w:ilvl w:val="0"/>
          <w:numId w:val="69"/>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rPr>
        <w:lastRenderedPageBreak/>
        <w:t>Belanja Pegawai</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Belanja pegawai berupa Penganggaran alokasi belanja gaji pokok dan tunjangan Aparatur Sipil Negara (ASN), Calon Aparatur Sipil Negara (CASN) dan Pegawai Pemerintah dengan Perjanjian Kerja (PPPK); Penganggaran penyelenggaraan jaminan kesehatan bagi Bupati, Wakil Bupati, Pimpinan dan Anggota Dewan Perwakilan Rakyat Daerah serta Aparatur Sipil Negara; Penganggaran penyelenggaraan jaminan kecelakaan kerja dan kematian bagi Bupati, Wakil Bupati, Pimpinan dan Anggota Dewan Perwakilan Rakyat Daerah serta Aparatur Sipil Negara; Penganggaran Tambahan Penghasilan Aparatur Sipil Negara; Penganggaran Insentif Pemungutan Pajak Daerah dan Retribusi Daerah; Penganggaran yang tersebut di atas, disesuaikan dengan ketentuan perundang-undangan.</w:t>
      </w:r>
    </w:p>
    <w:p w:rsidR="006536A5" w:rsidRPr="00793FF1" w:rsidRDefault="006536A5" w:rsidP="00611D25">
      <w:pPr>
        <w:pStyle w:val="ListParagraph"/>
        <w:numPr>
          <w:ilvl w:val="0"/>
          <w:numId w:val="69"/>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lang w:val="en-ID"/>
        </w:rPr>
        <w:t>Belanja Barang dan Jasa</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Belanja barang dan jasa digunakan untuk menganggarkan pengadaan barang/jasa yang nilai manfaatnya kurang dari 12 (dua belas) bulan, termasuk barang/jasa yang akan diserahkan atau dijual kepada masyarakat/pihak ketiga dan, Pengadaan barang/jasa dalam rangka melaksanakan Program dan Kegiatan Pemerintahan Daerah. </w:t>
      </w:r>
    </w:p>
    <w:p w:rsidR="006536A5" w:rsidRPr="00793FF1" w:rsidRDefault="006536A5" w:rsidP="00611D25">
      <w:pPr>
        <w:pStyle w:val="ListParagraph"/>
        <w:numPr>
          <w:ilvl w:val="0"/>
          <w:numId w:val="69"/>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lang w:val="en-ID"/>
        </w:rPr>
        <w:t>Belanja Hibah dan Bantuan Sosial</w:t>
      </w:r>
    </w:p>
    <w:p w:rsidR="006536A5" w:rsidRPr="00793FF1" w:rsidRDefault="006536A5" w:rsidP="006536A5">
      <w:pPr>
        <w:tabs>
          <w:tab w:val="left" w:pos="851"/>
        </w:tabs>
        <w:spacing w:after="120" w:line="360" w:lineRule="auto"/>
        <w:jc w:val="both"/>
        <w:rPr>
          <w:rFonts w:ascii="Arial" w:hAnsi="Arial" w:cs="Arial"/>
          <w:sz w:val="24"/>
          <w:szCs w:val="24"/>
        </w:rPr>
      </w:pPr>
      <w:r w:rsidRPr="00793FF1">
        <w:rPr>
          <w:rFonts w:ascii="Arial" w:hAnsi="Arial" w:cs="Arial"/>
          <w:sz w:val="24"/>
          <w:szCs w:val="24"/>
        </w:rPr>
        <w:tab/>
        <w:t>Belanja hibah dan bantuan sosial dialokasikan dalam bentuk uang, barang dan/atau jasa kepada pemerintah atau pemerintah daerah lainnya, dan kelompok masyarakat/perorangan yang secara spesifik telah ditetapkan peruntukannya. Pemberian Hibah dan bantuan sosial juga dialokasikan untuk memenuhi program pemulihan ekonomi nasional dalam rangka penanganan pandemi COVID-19 sesuai dengan ketentuan peraturan yang berlaku.</w:t>
      </w:r>
    </w:p>
    <w:p w:rsidR="006536A5" w:rsidRPr="00793FF1" w:rsidRDefault="006536A5" w:rsidP="00611D25">
      <w:pPr>
        <w:pStyle w:val="ListParagraph"/>
        <w:numPr>
          <w:ilvl w:val="0"/>
          <w:numId w:val="65"/>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rPr>
        <w:t>Belanja Modal</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 xml:space="preserve">Belanja modal digunakan untuk menganggarkan pengeluaran yang dilakukan dalam rangka pengadaan asset tetap dan asset lainnya. Pengadaan asset tetap memenuhi kriteria yaitu Mempunyai masa manfaat lebih dari 12 (dua belas) bulan; Digunakan dalam Kegiatan Pemerintahan Daerah; dan Batas minimal kapitalisasi aset. </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Aset tetap dianggarkan dalam belanja modal sebesar harga beli atau bangun aset ditambah seluruh belanja yang terkait dengan pengadaan/pembangunan aset sampai aset tersebut siap digunakan. Belanja modal meliputi:</w:t>
      </w:r>
    </w:p>
    <w:p w:rsidR="006536A5" w:rsidRPr="00793FF1" w:rsidRDefault="006536A5" w:rsidP="00611D25">
      <w:pPr>
        <w:pStyle w:val="ListParagraph"/>
        <w:numPr>
          <w:ilvl w:val="0"/>
          <w:numId w:val="70"/>
        </w:numPr>
        <w:spacing w:after="0" w:line="360" w:lineRule="auto"/>
        <w:ind w:left="426" w:hanging="426"/>
        <w:jc w:val="both"/>
        <w:rPr>
          <w:rFonts w:ascii="Arial" w:hAnsi="Arial" w:cs="Arial"/>
          <w:sz w:val="24"/>
          <w:szCs w:val="24"/>
          <w:lang w:val="en-ID"/>
        </w:rPr>
      </w:pPr>
      <w:r w:rsidRPr="00793FF1">
        <w:rPr>
          <w:rFonts w:ascii="Arial" w:hAnsi="Arial" w:cs="Arial"/>
          <w:sz w:val="24"/>
          <w:szCs w:val="24"/>
          <w:lang w:val="en-ID"/>
        </w:rPr>
        <w:lastRenderedPageBreak/>
        <w:t xml:space="preserve">Belanja tanah, digunakan untuk menganggarkan tanah yang diperoleh dengan maksud untuk dipakai dalam kegiatan operasional pemerintah dan dalam kondisi siap dipakai; </w:t>
      </w:r>
    </w:p>
    <w:p w:rsidR="006536A5" w:rsidRPr="00793FF1" w:rsidRDefault="006536A5" w:rsidP="00611D25">
      <w:pPr>
        <w:pStyle w:val="ListParagraph"/>
        <w:numPr>
          <w:ilvl w:val="0"/>
          <w:numId w:val="70"/>
        </w:numPr>
        <w:spacing w:after="0" w:line="360" w:lineRule="auto"/>
        <w:ind w:left="426" w:hanging="426"/>
        <w:jc w:val="both"/>
        <w:rPr>
          <w:rFonts w:ascii="Arial" w:hAnsi="Arial" w:cs="Arial"/>
          <w:sz w:val="24"/>
          <w:szCs w:val="24"/>
          <w:lang w:val="en-ID"/>
        </w:rPr>
      </w:pPr>
      <w:r w:rsidRPr="00793FF1">
        <w:rPr>
          <w:rFonts w:ascii="Arial" w:hAnsi="Arial" w:cs="Arial"/>
          <w:sz w:val="24"/>
          <w:szCs w:val="24"/>
          <w:lang w:val="en-ID"/>
        </w:rPr>
        <w:t xml:space="preserve">Belanja peralatan dan mesin, digunakan untuk menganggarkan peralatan dan mesin mencakup mesin dan kendaraan bermotor, alat elektonik, inventaris kantor, dan peralatan lainnya yang nilainya signifikan dan masa manfaatnya lebih dari 12 (dua belas) bulan dan dalam kondisi siap pakai; </w:t>
      </w:r>
    </w:p>
    <w:p w:rsidR="006536A5" w:rsidRPr="00793FF1" w:rsidRDefault="006536A5" w:rsidP="00611D25">
      <w:pPr>
        <w:pStyle w:val="ListParagraph"/>
        <w:numPr>
          <w:ilvl w:val="0"/>
          <w:numId w:val="70"/>
        </w:numPr>
        <w:spacing w:after="0" w:line="360" w:lineRule="auto"/>
        <w:ind w:left="426" w:hanging="426"/>
        <w:jc w:val="both"/>
        <w:rPr>
          <w:rFonts w:ascii="Arial" w:hAnsi="Arial" w:cs="Arial"/>
          <w:sz w:val="24"/>
          <w:szCs w:val="24"/>
          <w:lang w:val="en-ID"/>
        </w:rPr>
      </w:pPr>
      <w:r w:rsidRPr="00793FF1">
        <w:rPr>
          <w:rFonts w:ascii="Arial" w:hAnsi="Arial" w:cs="Arial"/>
          <w:sz w:val="24"/>
          <w:szCs w:val="24"/>
          <w:lang w:val="en-ID"/>
        </w:rPr>
        <w:t xml:space="preserve">Belanja bangunan dan gedung, digunakan untuk menganggarkan gedung dan bangunan mencakup seluruh gedung dan bangunan yang diperoleh dengan maksud untuk dipakai dalam kegiatan operasional pemerintah dan dalam kondisi siap dipakai; </w:t>
      </w:r>
    </w:p>
    <w:p w:rsidR="006536A5" w:rsidRPr="00793FF1" w:rsidRDefault="006536A5" w:rsidP="00611D25">
      <w:pPr>
        <w:pStyle w:val="ListParagraph"/>
        <w:numPr>
          <w:ilvl w:val="0"/>
          <w:numId w:val="70"/>
        </w:numPr>
        <w:spacing w:after="0" w:line="360" w:lineRule="auto"/>
        <w:ind w:left="426" w:hanging="426"/>
        <w:jc w:val="both"/>
        <w:rPr>
          <w:rFonts w:ascii="Arial" w:hAnsi="Arial" w:cs="Arial"/>
          <w:sz w:val="24"/>
          <w:szCs w:val="24"/>
          <w:lang w:val="en-ID"/>
        </w:rPr>
      </w:pPr>
      <w:r w:rsidRPr="00793FF1">
        <w:rPr>
          <w:rFonts w:ascii="Arial" w:hAnsi="Arial" w:cs="Arial"/>
          <w:sz w:val="24"/>
          <w:szCs w:val="24"/>
          <w:lang w:val="en-ID"/>
        </w:rPr>
        <w:t xml:space="preserve">Belanja jalan, irigasi, dan jaringan, digunakan untuk menganggarkan jalan, irigasi, dan jaringan mencakup jalan, irigasi, dan jaringan yang dibangun oleh pemerintah serta dimiliki dan/atau dikuasai oleh pemerintah dan dalam kondisi siap dipakai; </w:t>
      </w:r>
    </w:p>
    <w:p w:rsidR="006536A5" w:rsidRPr="00793FF1" w:rsidRDefault="006536A5" w:rsidP="00611D25">
      <w:pPr>
        <w:pStyle w:val="ListParagraph"/>
        <w:numPr>
          <w:ilvl w:val="0"/>
          <w:numId w:val="70"/>
        </w:numPr>
        <w:spacing w:after="0" w:line="360" w:lineRule="auto"/>
        <w:ind w:left="426" w:hanging="426"/>
        <w:jc w:val="both"/>
        <w:rPr>
          <w:rFonts w:ascii="Arial" w:hAnsi="Arial" w:cs="Arial"/>
          <w:sz w:val="24"/>
          <w:szCs w:val="24"/>
          <w:lang w:val="en-ID"/>
        </w:rPr>
      </w:pPr>
      <w:r w:rsidRPr="00793FF1">
        <w:rPr>
          <w:rFonts w:ascii="Arial" w:hAnsi="Arial" w:cs="Arial"/>
          <w:sz w:val="24"/>
          <w:szCs w:val="24"/>
          <w:lang w:val="en-ID"/>
        </w:rPr>
        <w:t xml:space="preserve">Belanja aset tetap lainnya, digunakan untuk menganggarkan asset tetap lainnya mencakup aset tetap yang tidak dapat dikelompokkan ke dalam kelompok aset tetap a sampai dengan huruf d, yang diperoleh dan dimanfaatkan untuk kegiatan operasional pemerintah dan dalam kondisi siap dipakai; dan </w:t>
      </w:r>
    </w:p>
    <w:p w:rsidR="006536A5" w:rsidRPr="00793FF1" w:rsidRDefault="006536A5" w:rsidP="00611D25">
      <w:pPr>
        <w:pStyle w:val="ListParagraph"/>
        <w:numPr>
          <w:ilvl w:val="0"/>
          <w:numId w:val="70"/>
        </w:numPr>
        <w:spacing w:after="120" w:line="360" w:lineRule="auto"/>
        <w:ind w:left="425" w:hanging="425"/>
        <w:contextualSpacing w:val="0"/>
        <w:jc w:val="both"/>
        <w:rPr>
          <w:rFonts w:ascii="Arial" w:hAnsi="Arial" w:cs="Arial"/>
          <w:sz w:val="24"/>
          <w:szCs w:val="24"/>
          <w:lang w:val="en-ID"/>
        </w:rPr>
      </w:pPr>
      <w:r w:rsidRPr="00793FF1">
        <w:rPr>
          <w:rFonts w:ascii="Arial" w:hAnsi="Arial" w:cs="Arial"/>
          <w:sz w:val="24"/>
          <w:szCs w:val="24"/>
          <w:lang w:val="en-ID"/>
        </w:rPr>
        <w:t>Belanja asset lainnya, digunakan untuk menganggarkan aset tetap yang tidak digunakan untuk keperluan operasional pemerintah, tidak memenuhi definisi aset tetap, dan harus disajikan di pos aset lainnya sesuai dengan nilai tercatatnya.</w:t>
      </w:r>
    </w:p>
    <w:p w:rsidR="006536A5" w:rsidRPr="00793FF1" w:rsidRDefault="006536A5" w:rsidP="00611D25">
      <w:pPr>
        <w:pStyle w:val="ListParagraph"/>
        <w:numPr>
          <w:ilvl w:val="0"/>
          <w:numId w:val="65"/>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rPr>
        <w:t>Belanja Tidak Terduga</w:t>
      </w:r>
    </w:p>
    <w:p w:rsidR="006536A5" w:rsidRPr="00793FF1" w:rsidRDefault="006536A5" w:rsidP="006536A5">
      <w:pPr>
        <w:tabs>
          <w:tab w:val="left" w:pos="851"/>
        </w:tabs>
        <w:spacing w:after="120" w:line="360" w:lineRule="auto"/>
        <w:jc w:val="both"/>
        <w:rPr>
          <w:rFonts w:ascii="Arial" w:hAnsi="Arial" w:cs="Arial"/>
          <w:sz w:val="24"/>
          <w:szCs w:val="24"/>
        </w:rPr>
      </w:pPr>
      <w:r w:rsidRPr="00793FF1">
        <w:rPr>
          <w:rFonts w:ascii="Arial" w:hAnsi="Arial" w:cs="Arial"/>
          <w:sz w:val="24"/>
          <w:szCs w:val="24"/>
        </w:rPr>
        <w:tab/>
        <w:t xml:space="preserve">Belanja Tidak Terduga (BTT) dianggarkan untuk kegiatan yang sifatnya tidak biasa atau tidak diharapkan berulang seperti penanggulangan bencana alam dan bencana sosial yang tidak diperkirakan sebelumnya, termasuk pengembalian atas kelebihan penerimaan daerah tahun-tahun sebelumnya yang telah ditutup. Pada anggaran perubahan Tahun 2021, BTT digunakan untuk </w:t>
      </w:r>
      <w:r w:rsidRPr="00793FF1">
        <w:rPr>
          <w:rFonts w:ascii="Arial" w:hAnsi="Arial" w:cs="Arial"/>
          <w:sz w:val="24"/>
          <w:szCs w:val="24"/>
          <w:lang w:val="id-ID"/>
        </w:rPr>
        <w:t xml:space="preserve">penanganan </w:t>
      </w:r>
      <w:r w:rsidRPr="00793FF1">
        <w:rPr>
          <w:rFonts w:ascii="Arial" w:hAnsi="Arial" w:cs="Arial"/>
          <w:sz w:val="24"/>
          <w:szCs w:val="24"/>
          <w:lang w:val="en-ID"/>
        </w:rPr>
        <w:t>pandemi COVID-19 dan antisipasi bencana alam.</w:t>
      </w:r>
    </w:p>
    <w:p w:rsidR="006536A5" w:rsidRPr="00793FF1" w:rsidRDefault="006536A5" w:rsidP="00611D25">
      <w:pPr>
        <w:pStyle w:val="ListParagraph"/>
        <w:numPr>
          <w:ilvl w:val="0"/>
          <w:numId w:val="65"/>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rPr>
        <w:t>Belanja Transfer</w:t>
      </w:r>
    </w:p>
    <w:p w:rsidR="006536A5" w:rsidRPr="00793FF1" w:rsidRDefault="006536A5" w:rsidP="006536A5">
      <w:pPr>
        <w:tabs>
          <w:tab w:val="left" w:pos="851"/>
        </w:tabs>
        <w:spacing w:after="0" w:line="360" w:lineRule="auto"/>
        <w:rPr>
          <w:rFonts w:ascii="Arial" w:hAnsi="Arial" w:cs="Arial"/>
          <w:sz w:val="24"/>
          <w:szCs w:val="24"/>
        </w:rPr>
      </w:pPr>
      <w:r w:rsidRPr="00793FF1">
        <w:rPr>
          <w:rFonts w:ascii="Arial" w:hAnsi="Arial" w:cs="Arial"/>
          <w:sz w:val="24"/>
          <w:szCs w:val="24"/>
        </w:rPr>
        <w:tab/>
        <w:t>Belanja transfer terbagi menjadi dua, yaitu:</w:t>
      </w:r>
    </w:p>
    <w:p w:rsidR="00CF2BA0" w:rsidRPr="00793FF1" w:rsidRDefault="00CF2BA0" w:rsidP="006536A5">
      <w:pPr>
        <w:tabs>
          <w:tab w:val="left" w:pos="851"/>
        </w:tabs>
        <w:spacing w:after="0" w:line="360" w:lineRule="auto"/>
        <w:rPr>
          <w:rFonts w:ascii="Arial" w:hAnsi="Arial" w:cs="Arial"/>
          <w:sz w:val="24"/>
          <w:szCs w:val="24"/>
        </w:rPr>
      </w:pPr>
    </w:p>
    <w:p w:rsidR="006536A5" w:rsidRPr="00793FF1" w:rsidRDefault="006536A5" w:rsidP="00611D25">
      <w:pPr>
        <w:pStyle w:val="ListParagraph"/>
        <w:numPr>
          <w:ilvl w:val="0"/>
          <w:numId w:val="71"/>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rPr>
        <w:lastRenderedPageBreak/>
        <w:t>Belanja Bagi Hasil</w:t>
      </w:r>
    </w:p>
    <w:p w:rsidR="006536A5" w:rsidRPr="00793FF1" w:rsidRDefault="006536A5" w:rsidP="006536A5">
      <w:pPr>
        <w:tabs>
          <w:tab w:val="left" w:pos="851"/>
        </w:tabs>
        <w:spacing w:after="0" w:line="360" w:lineRule="auto"/>
        <w:jc w:val="both"/>
        <w:rPr>
          <w:rFonts w:ascii="Arial" w:hAnsi="Arial" w:cs="Arial"/>
          <w:sz w:val="24"/>
          <w:szCs w:val="24"/>
        </w:rPr>
      </w:pPr>
      <w:r w:rsidRPr="00793FF1">
        <w:rPr>
          <w:rFonts w:ascii="Arial" w:hAnsi="Arial" w:cs="Arial"/>
          <w:iCs/>
          <w:sz w:val="24"/>
          <w:szCs w:val="24"/>
        </w:rPr>
        <w:tab/>
        <w:t xml:space="preserve">Belanja Bagi Hasil digunakan untuk menganggarkan </w:t>
      </w:r>
      <w:proofErr w:type="gramStart"/>
      <w:r w:rsidRPr="00793FF1">
        <w:rPr>
          <w:rFonts w:ascii="Arial" w:hAnsi="Arial" w:cs="Arial"/>
          <w:iCs/>
          <w:sz w:val="24"/>
          <w:szCs w:val="24"/>
        </w:rPr>
        <w:t>dana</w:t>
      </w:r>
      <w:proofErr w:type="gramEnd"/>
      <w:r w:rsidRPr="00793FF1">
        <w:rPr>
          <w:rFonts w:ascii="Arial" w:hAnsi="Arial" w:cs="Arial"/>
          <w:iCs/>
          <w:sz w:val="24"/>
          <w:szCs w:val="24"/>
        </w:rPr>
        <w:t xml:space="preserve"> bagi hasil yang bersumber dari pendapatan provinsi kepada kabupaten/kota atau pendapatan kabupaten/kota kepada pemerintah desa atau pendapatan pemerintah daerah tertentu kepada pemerintah daerah lainnya sesuai dengan ketentuan perundang-undangan. Kebijakan ini dialokasikan untuk memenuhi bagi hasil dari pajak daerah dan retribusi daerah kepada pemerintah desa.</w:t>
      </w:r>
    </w:p>
    <w:p w:rsidR="006536A5" w:rsidRPr="00793FF1" w:rsidRDefault="006536A5" w:rsidP="00611D25">
      <w:pPr>
        <w:pStyle w:val="ListParagraph"/>
        <w:numPr>
          <w:ilvl w:val="0"/>
          <w:numId w:val="71"/>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rPr>
        <w:t xml:space="preserve">Belanja Bantuan Keuangan </w:t>
      </w:r>
    </w:p>
    <w:p w:rsidR="006536A5" w:rsidRPr="00793FF1" w:rsidRDefault="006536A5" w:rsidP="006536A5">
      <w:pPr>
        <w:tabs>
          <w:tab w:val="left" w:pos="851"/>
        </w:tabs>
        <w:spacing w:after="0" w:line="360" w:lineRule="auto"/>
        <w:jc w:val="both"/>
        <w:rPr>
          <w:rFonts w:ascii="Arial" w:hAnsi="Arial" w:cs="Arial"/>
          <w:sz w:val="24"/>
          <w:szCs w:val="24"/>
        </w:rPr>
      </w:pPr>
      <w:r w:rsidRPr="00793FF1">
        <w:rPr>
          <w:rFonts w:ascii="Arial" w:hAnsi="Arial" w:cs="Arial"/>
          <w:sz w:val="24"/>
          <w:szCs w:val="24"/>
        </w:rPr>
        <w:tab/>
        <w:t>Belanja Bantuan Keuangan digunakan untuk menganggarkan bantuan keuangan yang bersifat umum atau khusus dari provinsi kepada kabupaten/kota, pemerintah desa, dan kepada pemerintah daerah Iainnya atau dari pemerintah kabupaten/kota kepada pemerintah desa dan pemerintah daerah Iainnya dalam rangka pemerataan dan/atau peningkatan kemampuan keuangan. Bantuan keuangan yang bersifat umum, peruntukan dan penggunaannya diserahkan sepenuhnya kepada pemerintah daerah/pemerintah desa penerima bantuan. Bantuan keuangan yang bersifat khusus, peruntukan dan pengelolaannya diarahkan/ditetapkan oleh pemerintah daerah pemberi bantuan. Pada anggaran perubahan tahun 2021, kebijakan terkait bantuan keuangan kepada provinsi/kab/kota dan pemerintah desa dialokasikan untuk memenuhi belanja bantuan keuangan kepada pemerintah desa berupa Alokasi Dana Desa.</w:t>
      </w:r>
    </w:p>
    <w:p w:rsidR="006536A5" w:rsidRPr="00793FF1" w:rsidRDefault="006536A5" w:rsidP="006536A5">
      <w:pPr>
        <w:tabs>
          <w:tab w:val="left" w:pos="851"/>
        </w:tabs>
        <w:spacing w:after="0" w:line="360" w:lineRule="auto"/>
        <w:jc w:val="both"/>
        <w:rPr>
          <w:rFonts w:ascii="Arial" w:hAnsi="Arial" w:cs="Arial"/>
          <w:sz w:val="24"/>
          <w:szCs w:val="24"/>
        </w:rPr>
      </w:pPr>
      <w:r w:rsidRPr="00793FF1">
        <w:rPr>
          <w:rFonts w:ascii="Arial" w:hAnsi="Arial" w:cs="Arial"/>
          <w:sz w:val="24"/>
          <w:szCs w:val="24"/>
        </w:rPr>
        <w:tab/>
      </w:r>
      <w:r w:rsidRPr="00793FF1">
        <w:rPr>
          <w:rFonts w:ascii="Arial" w:hAnsi="Arial" w:cs="Arial"/>
          <w:sz w:val="24"/>
          <w:szCs w:val="24"/>
          <w:lang w:val="en-ID"/>
        </w:rPr>
        <w:t>Struktur belanja daerah pada RPJMD Tahun Anggaran 2021 ditampilkan pada tabel di bawah ini:</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Tabel 3.6</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Struktur Belanja Daerah Kabupaten Kepulauan Selayar</w:t>
      </w:r>
    </w:p>
    <w:p w:rsidR="006536A5" w:rsidRPr="00793FF1" w:rsidRDefault="006536A5" w:rsidP="006536A5">
      <w:pPr>
        <w:spacing w:after="0" w:line="360" w:lineRule="auto"/>
        <w:jc w:val="center"/>
        <w:rPr>
          <w:rFonts w:ascii="Arial" w:hAnsi="Arial" w:cs="Arial"/>
          <w:b/>
        </w:rPr>
      </w:pPr>
      <w:r w:rsidRPr="00793FF1">
        <w:rPr>
          <w:rFonts w:ascii="Arial" w:hAnsi="Arial" w:cs="Arial"/>
          <w:b/>
        </w:rPr>
        <w:t>Pada RPJMD Tahun Anggaran 2021</w:t>
      </w:r>
    </w:p>
    <w:tbl>
      <w:tblPr>
        <w:tblW w:w="7230" w:type="dxa"/>
        <w:jc w:val="center"/>
        <w:tblLook w:val="04A0" w:firstRow="1" w:lastRow="0" w:firstColumn="1" w:lastColumn="0" w:noHBand="0" w:noVBand="1"/>
      </w:tblPr>
      <w:tblGrid>
        <w:gridCol w:w="858"/>
        <w:gridCol w:w="4104"/>
        <w:gridCol w:w="2268"/>
      </w:tblGrid>
      <w:tr w:rsidR="00793FF1" w:rsidRPr="00793FF1" w:rsidTr="00BD793E">
        <w:trPr>
          <w:trHeight w:val="300"/>
          <w:tblHeader/>
          <w:jc w:val="center"/>
        </w:trPr>
        <w:tc>
          <w:tcPr>
            <w:tcW w:w="858" w:type="dxa"/>
            <w:tcBorders>
              <w:top w:val="single" w:sz="4" w:space="0" w:color="C9C9C9"/>
              <w:left w:val="single" w:sz="4" w:space="0" w:color="C9C9C9"/>
              <w:bottom w:val="single" w:sz="4" w:space="0" w:color="C9C9C9"/>
              <w:right w:val="single" w:sz="4" w:space="0" w:color="C9C9C9"/>
            </w:tcBorders>
            <w:shd w:val="clear" w:color="EDEDED" w:fill="EDEDED"/>
            <w:noWrap/>
            <w:vAlign w:val="bottom"/>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t>No</w:t>
            </w:r>
          </w:p>
        </w:tc>
        <w:tc>
          <w:tcPr>
            <w:tcW w:w="4104" w:type="dxa"/>
            <w:tcBorders>
              <w:top w:val="single" w:sz="4" w:space="0" w:color="C9C9C9"/>
              <w:left w:val="single" w:sz="4" w:space="0" w:color="C9C9C9"/>
              <w:bottom w:val="single" w:sz="4" w:space="0" w:color="C9C9C9"/>
              <w:right w:val="single" w:sz="4" w:space="0" w:color="C9C9C9"/>
            </w:tcBorders>
            <w:shd w:val="clear" w:color="EDEDED" w:fill="EDEDED"/>
            <w:noWrap/>
            <w:vAlign w:val="bottom"/>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t>Uraian</w:t>
            </w:r>
          </w:p>
        </w:tc>
        <w:tc>
          <w:tcPr>
            <w:tcW w:w="2268" w:type="dxa"/>
            <w:tcBorders>
              <w:top w:val="single" w:sz="4" w:space="0" w:color="C9C9C9"/>
              <w:left w:val="single" w:sz="4" w:space="0" w:color="C9C9C9"/>
              <w:bottom w:val="single" w:sz="4" w:space="0" w:color="C9C9C9"/>
              <w:right w:val="single" w:sz="4" w:space="0" w:color="C9C9C9"/>
            </w:tcBorders>
            <w:shd w:val="clear" w:color="EDEDED" w:fill="EDEDED"/>
            <w:noWrap/>
            <w:vAlign w:val="bottom"/>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t>Tahun 2021</w:t>
            </w:r>
          </w:p>
        </w:tc>
      </w:tr>
      <w:tr w:rsidR="00793FF1" w:rsidRPr="00793FF1" w:rsidTr="00BD793E">
        <w:trPr>
          <w:trHeight w:val="300"/>
          <w:tblHeader/>
          <w:jc w:val="center"/>
        </w:trPr>
        <w:tc>
          <w:tcPr>
            <w:tcW w:w="858" w:type="dxa"/>
            <w:tcBorders>
              <w:top w:val="single" w:sz="4" w:space="0" w:color="C9C9C9"/>
              <w:left w:val="single" w:sz="4" w:space="0" w:color="C9C9C9"/>
              <w:bottom w:val="single" w:sz="4" w:space="0" w:color="C9C9C9"/>
              <w:right w:val="single" w:sz="4" w:space="0" w:color="C9C9C9"/>
            </w:tcBorders>
            <w:shd w:val="clear" w:color="EDEDED" w:fill="EDEDED"/>
            <w:noWrap/>
            <w:vAlign w:val="bottom"/>
          </w:tcPr>
          <w:p w:rsidR="006536A5" w:rsidRPr="00793FF1" w:rsidRDefault="006536A5" w:rsidP="00BD793E">
            <w:pPr>
              <w:spacing w:after="0" w:line="240" w:lineRule="auto"/>
              <w:jc w:val="center"/>
              <w:rPr>
                <w:rFonts w:ascii="Arial Narrow" w:eastAsia="Times New Roman" w:hAnsi="Arial Narrow" w:cs="Arial"/>
                <w:bCs/>
                <w:i/>
              </w:rPr>
            </w:pPr>
            <w:r w:rsidRPr="00793FF1">
              <w:rPr>
                <w:rFonts w:ascii="Arial Narrow" w:eastAsia="Times New Roman" w:hAnsi="Arial Narrow" w:cs="Arial"/>
                <w:bCs/>
                <w:i/>
              </w:rPr>
              <w:t>1</w:t>
            </w:r>
          </w:p>
        </w:tc>
        <w:tc>
          <w:tcPr>
            <w:tcW w:w="4104" w:type="dxa"/>
            <w:tcBorders>
              <w:top w:val="single" w:sz="4" w:space="0" w:color="C9C9C9"/>
              <w:left w:val="single" w:sz="4" w:space="0" w:color="C9C9C9"/>
              <w:bottom w:val="single" w:sz="4" w:space="0" w:color="C9C9C9"/>
              <w:right w:val="single" w:sz="4" w:space="0" w:color="C9C9C9"/>
            </w:tcBorders>
            <w:shd w:val="clear" w:color="EDEDED" w:fill="EDEDED"/>
            <w:noWrap/>
            <w:vAlign w:val="bottom"/>
          </w:tcPr>
          <w:p w:rsidR="006536A5" w:rsidRPr="00793FF1" w:rsidRDefault="006536A5" w:rsidP="00BD793E">
            <w:pPr>
              <w:spacing w:after="0" w:line="240" w:lineRule="auto"/>
              <w:jc w:val="center"/>
              <w:rPr>
                <w:rFonts w:ascii="Arial Narrow" w:eastAsia="Times New Roman" w:hAnsi="Arial Narrow" w:cs="Arial"/>
                <w:bCs/>
                <w:i/>
              </w:rPr>
            </w:pPr>
            <w:r w:rsidRPr="00793FF1">
              <w:rPr>
                <w:rFonts w:ascii="Arial Narrow" w:eastAsia="Times New Roman" w:hAnsi="Arial Narrow" w:cs="Arial"/>
                <w:bCs/>
                <w:i/>
              </w:rPr>
              <w:t>2</w:t>
            </w:r>
          </w:p>
        </w:tc>
        <w:tc>
          <w:tcPr>
            <w:tcW w:w="2268" w:type="dxa"/>
            <w:tcBorders>
              <w:top w:val="single" w:sz="4" w:space="0" w:color="C9C9C9"/>
              <w:left w:val="single" w:sz="4" w:space="0" w:color="C9C9C9"/>
              <w:bottom w:val="single" w:sz="4" w:space="0" w:color="C9C9C9"/>
              <w:right w:val="single" w:sz="4" w:space="0" w:color="C9C9C9"/>
            </w:tcBorders>
            <w:shd w:val="clear" w:color="EDEDED" w:fill="EDEDED"/>
            <w:noWrap/>
            <w:vAlign w:val="bottom"/>
          </w:tcPr>
          <w:p w:rsidR="006536A5" w:rsidRPr="00793FF1" w:rsidRDefault="006536A5" w:rsidP="00BD793E">
            <w:pPr>
              <w:spacing w:after="0" w:line="240" w:lineRule="auto"/>
              <w:jc w:val="center"/>
              <w:rPr>
                <w:rFonts w:ascii="Arial Narrow" w:eastAsia="Times New Roman" w:hAnsi="Arial Narrow" w:cs="Arial"/>
                <w:bCs/>
                <w:i/>
              </w:rPr>
            </w:pPr>
            <w:r w:rsidRPr="00793FF1">
              <w:rPr>
                <w:rFonts w:ascii="Arial Narrow" w:eastAsia="Times New Roman" w:hAnsi="Arial Narrow" w:cs="Arial"/>
                <w:bCs/>
                <w:i/>
              </w:rPr>
              <w:t>3</w:t>
            </w:r>
          </w:p>
        </w:tc>
      </w:tr>
      <w:tr w:rsidR="00793FF1" w:rsidRPr="00793FF1" w:rsidTr="00BD793E">
        <w:trPr>
          <w:trHeight w:val="300"/>
          <w:jc w:val="center"/>
        </w:trPr>
        <w:tc>
          <w:tcPr>
            <w:tcW w:w="858"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t>2</w:t>
            </w:r>
          </w:p>
        </w:tc>
        <w:tc>
          <w:tcPr>
            <w:tcW w:w="4104"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b/>
                <w:bCs/>
              </w:rPr>
            </w:pPr>
            <w:r w:rsidRPr="00793FF1">
              <w:rPr>
                <w:rFonts w:ascii="Arial Narrow" w:eastAsia="Times New Roman" w:hAnsi="Arial Narrow" w:cs="Arial"/>
                <w:b/>
                <w:bCs/>
              </w:rPr>
              <w:t>BELANJA</w:t>
            </w:r>
          </w:p>
        </w:tc>
        <w:tc>
          <w:tcPr>
            <w:tcW w:w="2268"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b/>
                <w:bCs/>
              </w:rPr>
            </w:pPr>
          </w:p>
        </w:tc>
      </w:tr>
      <w:tr w:rsidR="00793FF1" w:rsidRPr="00793FF1" w:rsidTr="00BD793E">
        <w:trPr>
          <w:trHeight w:val="300"/>
          <w:jc w:val="center"/>
        </w:trPr>
        <w:tc>
          <w:tcPr>
            <w:tcW w:w="858"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t>2.1</w:t>
            </w:r>
          </w:p>
        </w:tc>
        <w:tc>
          <w:tcPr>
            <w:tcW w:w="4104"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rPr>
                <w:rFonts w:ascii="Arial Narrow" w:eastAsia="Times New Roman" w:hAnsi="Arial Narrow" w:cs="Arial"/>
                <w:b/>
                <w:bCs/>
              </w:rPr>
            </w:pPr>
            <w:r w:rsidRPr="00793FF1">
              <w:rPr>
                <w:rFonts w:ascii="Arial Narrow" w:eastAsia="Times New Roman" w:hAnsi="Arial Narrow" w:cs="Arial"/>
                <w:b/>
                <w:bCs/>
              </w:rPr>
              <w:t>Belanja Tidak Langsung</w:t>
            </w:r>
          </w:p>
        </w:tc>
        <w:tc>
          <w:tcPr>
            <w:tcW w:w="2268"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right"/>
              <w:rPr>
                <w:rFonts w:ascii="Arial Narrow" w:eastAsia="Times New Roman" w:hAnsi="Arial Narrow" w:cs="Arial"/>
                <w:b/>
                <w:bCs/>
              </w:rPr>
            </w:pPr>
            <w:r w:rsidRPr="00793FF1">
              <w:rPr>
                <w:rFonts w:ascii="Arial Narrow" w:eastAsia="Times New Roman" w:hAnsi="Arial Narrow" w:cs="Arial"/>
                <w:b/>
                <w:bCs/>
              </w:rPr>
              <w:t>573,564,747,506.58</w:t>
            </w:r>
          </w:p>
        </w:tc>
      </w:tr>
      <w:tr w:rsidR="00793FF1" w:rsidRPr="00793FF1" w:rsidTr="00BD793E">
        <w:trPr>
          <w:trHeight w:val="285"/>
          <w:jc w:val="center"/>
        </w:trPr>
        <w:tc>
          <w:tcPr>
            <w:tcW w:w="858"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2.1.1</w:t>
            </w:r>
          </w:p>
        </w:tc>
        <w:tc>
          <w:tcPr>
            <w:tcW w:w="4104"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Belanja Pegawai</w:t>
            </w:r>
          </w:p>
        </w:tc>
        <w:tc>
          <w:tcPr>
            <w:tcW w:w="2268"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375,297,943,556.68</w:t>
            </w:r>
          </w:p>
        </w:tc>
      </w:tr>
      <w:tr w:rsidR="00793FF1" w:rsidRPr="00793FF1" w:rsidTr="00BD793E">
        <w:trPr>
          <w:trHeight w:val="285"/>
          <w:jc w:val="center"/>
        </w:trPr>
        <w:tc>
          <w:tcPr>
            <w:tcW w:w="858"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2.1.2</w:t>
            </w:r>
          </w:p>
        </w:tc>
        <w:tc>
          <w:tcPr>
            <w:tcW w:w="4104"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Belanja Bunga</w:t>
            </w:r>
          </w:p>
        </w:tc>
        <w:tc>
          <w:tcPr>
            <w:tcW w:w="2268"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 xml:space="preserve">                                     -   </w:t>
            </w:r>
          </w:p>
        </w:tc>
      </w:tr>
      <w:tr w:rsidR="00793FF1" w:rsidRPr="00793FF1" w:rsidTr="00BD793E">
        <w:trPr>
          <w:trHeight w:val="285"/>
          <w:jc w:val="center"/>
        </w:trPr>
        <w:tc>
          <w:tcPr>
            <w:tcW w:w="858"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2.1.3</w:t>
            </w:r>
          </w:p>
        </w:tc>
        <w:tc>
          <w:tcPr>
            <w:tcW w:w="4104"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Belanja Subsidi</w:t>
            </w:r>
          </w:p>
        </w:tc>
        <w:tc>
          <w:tcPr>
            <w:tcW w:w="2268"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3,000,000,000.00</w:t>
            </w:r>
          </w:p>
        </w:tc>
      </w:tr>
      <w:tr w:rsidR="00793FF1" w:rsidRPr="00793FF1" w:rsidTr="00BD793E">
        <w:trPr>
          <w:trHeight w:val="285"/>
          <w:jc w:val="center"/>
        </w:trPr>
        <w:tc>
          <w:tcPr>
            <w:tcW w:w="858"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2.1.4</w:t>
            </w:r>
          </w:p>
        </w:tc>
        <w:tc>
          <w:tcPr>
            <w:tcW w:w="4104"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Belanja Hibah</w:t>
            </w:r>
          </w:p>
        </w:tc>
        <w:tc>
          <w:tcPr>
            <w:tcW w:w="2268"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12,286,768,906.25</w:t>
            </w:r>
          </w:p>
        </w:tc>
      </w:tr>
      <w:tr w:rsidR="00793FF1" w:rsidRPr="00793FF1" w:rsidTr="00BD793E">
        <w:trPr>
          <w:trHeight w:val="285"/>
          <w:jc w:val="center"/>
        </w:trPr>
        <w:tc>
          <w:tcPr>
            <w:tcW w:w="858"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2.1.5</w:t>
            </w:r>
          </w:p>
        </w:tc>
        <w:tc>
          <w:tcPr>
            <w:tcW w:w="4104"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Belanja Bantuan Sosial</w:t>
            </w:r>
          </w:p>
        </w:tc>
        <w:tc>
          <w:tcPr>
            <w:tcW w:w="2268"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7,797,419,663.75</w:t>
            </w:r>
          </w:p>
        </w:tc>
      </w:tr>
      <w:tr w:rsidR="00793FF1" w:rsidRPr="00793FF1" w:rsidTr="00BD793E">
        <w:trPr>
          <w:trHeight w:val="285"/>
          <w:jc w:val="center"/>
        </w:trPr>
        <w:tc>
          <w:tcPr>
            <w:tcW w:w="858"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2.1.6</w:t>
            </w:r>
          </w:p>
        </w:tc>
        <w:tc>
          <w:tcPr>
            <w:tcW w:w="4104"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Belanja Bagi Hasil</w:t>
            </w:r>
          </w:p>
        </w:tc>
        <w:tc>
          <w:tcPr>
            <w:tcW w:w="2268"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3,034,525,843.75</w:t>
            </w:r>
          </w:p>
        </w:tc>
      </w:tr>
      <w:tr w:rsidR="00793FF1" w:rsidRPr="00793FF1" w:rsidTr="00BD793E">
        <w:trPr>
          <w:trHeight w:val="285"/>
          <w:jc w:val="center"/>
        </w:trPr>
        <w:tc>
          <w:tcPr>
            <w:tcW w:w="858"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2.1.7</w:t>
            </w:r>
          </w:p>
        </w:tc>
        <w:tc>
          <w:tcPr>
            <w:tcW w:w="4104"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Belanja Bantuan Keuangan</w:t>
            </w:r>
          </w:p>
        </w:tc>
        <w:tc>
          <w:tcPr>
            <w:tcW w:w="2268"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170,551,170,786.15</w:t>
            </w:r>
          </w:p>
        </w:tc>
      </w:tr>
      <w:tr w:rsidR="00793FF1" w:rsidRPr="00793FF1" w:rsidTr="00BD793E">
        <w:trPr>
          <w:trHeight w:val="285"/>
          <w:jc w:val="center"/>
        </w:trPr>
        <w:tc>
          <w:tcPr>
            <w:tcW w:w="858"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2.1.8</w:t>
            </w:r>
          </w:p>
        </w:tc>
        <w:tc>
          <w:tcPr>
            <w:tcW w:w="4104"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Belanja Tidak Terduga</w:t>
            </w:r>
          </w:p>
        </w:tc>
        <w:tc>
          <w:tcPr>
            <w:tcW w:w="2268"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1,596,918,750.00</w:t>
            </w:r>
          </w:p>
        </w:tc>
      </w:tr>
      <w:tr w:rsidR="00793FF1" w:rsidRPr="00793FF1" w:rsidTr="00BD793E">
        <w:trPr>
          <w:trHeight w:val="300"/>
          <w:jc w:val="center"/>
        </w:trPr>
        <w:tc>
          <w:tcPr>
            <w:tcW w:w="858"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t>2.2</w:t>
            </w:r>
          </w:p>
        </w:tc>
        <w:tc>
          <w:tcPr>
            <w:tcW w:w="4104"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b/>
                <w:bCs/>
              </w:rPr>
            </w:pPr>
            <w:r w:rsidRPr="00793FF1">
              <w:rPr>
                <w:rFonts w:ascii="Arial Narrow" w:eastAsia="Times New Roman" w:hAnsi="Arial Narrow" w:cs="Arial"/>
                <w:b/>
                <w:bCs/>
              </w:rPr>
              <w:t>Belanja Langsung</w:t>
            </w:r>
          </w:p>
        </w:tc>
        <w:tc>
          <w:tcPr>
            <w:tcW w:w="2268"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right"/>
              <w:rPr>
                <w:rFonts w:ascii="Arial Narrow" w:eastAsia="Times New Roman" w:hAnsi="Arial Narrow" w:cs="Arial"/>
                <w:b/>
                <w:bCs/>
              </w:rPr>
            </w:pPr>
            <w:r w:rsidRPr="00793FF1">
              <w:rPr>
                <w:rFonts w:ascii="Arial Narrow" w:eastAsia="Times New Roman" w:hAnsi="Arial Narrow" w:cs="Arial"/>
                <w:b/>
                <w:bCs/>
              </w:rPr>
              <w:t>777,822,691,312.84</w:t>
            </w:r>
          </w:p>
        </w:tc>
      </w:tr>
      <w:tr w:rsidR="00793FF1" w:rsidRPr="00793FF1" w:rsidTr="00BD793E">
        <w:trPr>
          <w:trHeight w:val="285"/>
          <w:jc w:val="center"/>
        </w:trPr>
        <w:tc>
          <w:tcPr>
            <w:tcW w:w="858"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2.2.1</w:t>
            </w:r>
          </w:p>
        </w:tc>
        <w:tc>
          <w:tcPr>
            <w:tcW w:w="4104"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Belanja Pegawai</w:t>
            </w:r>
          </w:p>
        </w:tc>
        <w:tc>
          <w:tcPr>
            <w:tcW w:w="2268"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36,379,987,645.25</w:t>
            </w:r>
          </w:p>
        </w:tc>
      </w:tr>
      <w:tr w:rsidR="00793FF1" w:rsidRPr="00793FF1" w:rsidTr="00BD793E">
        <w:trPr>
          <w:trHeight w:val="285"/>
          <w:jc w:val="center"/>
        </w:trPr>
        <w:tc>
          <w:tcPr>
            <w:tcW w:w="858"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lastRenderedPageBreak/>
              <w:t>2.2.2</w:t>
            </w:r>
          </w:p>
        </w:tc>
        <w:tc>
          <w:tcPr>
            <w:tcW w:w="4104"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Belanja Barang dan Jasa</w:t>
            </w:r>
          </w:p>
        </w:tc>
        <w:tc>
          <w:tcPr>
            <w:tcW w:w="2268"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307,476,227,543.06</w:t>
            </w:r>
          </w:p>
        </w:tc>
      </w:tr>
      <w:tr w:rsidR="00793FF1" w:rsidRPr="00793FF1" w:rsidTr="00BD793E">
        <w:trPr>
          <w:trHeight w:val="285"/>
          <w:jc w:val="center"/>
        </w:trPr>
        <w:tc>
          <w:tcPr>
            <w:tcW w:w="858"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2.2.3</w:t>
            </w:r>
          </w:p>
        </w:tc>
        <w:tc>
          <w:tcPr>
            <w:tcW w:w="4104"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Belanja Modal</w:t>
            </w:r>
          </w:p>
        </w:tc>
        <w:tc>
          <w:tcPr>
            <w:tcW w:w="2268"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433,966,476,124.54</w:t>
            </w:r>
          </w:p>
        </w:tc>
      </w:tr>
      <w:tr w:rsidR="00793FF1" w:rsidRPr="00793FF1" w:rsidTr="00BD793E">
        <w:trPr>
          <w:trHeight w:val="481"/>
          <w:jc w:val="center"/>
        </w:trPr>
        <w:tc>
          <w:tcPr>
            <w:tcW w:w="4962" w:type="dxa"/>
            <w:gridSpan w:val="2"/>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t>Jumlah Belanja</w:t>
            </w:r>
          </w:p>
        </w:tc>
        <w:tc>
          <w:tcPr>
            <w:tcW w:w="2268"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right"/>
              <w:rPr>
                <w:rFonts w:ascii="Arial Narrow" w:eastAsia="Times New Roman" w:hAnsi="Arial Narrow" w:cs="Arial"/>
                <w:b/>
                <w:bCs/>
              </w:rPr>
            </w:pPr>
            <w:r w:rsidRPr="00793FF1">
              <w:rPr>
                <w:rFonts w:ascii="Arial Narrow" w:eastAsia="Times New Roman" w:hAnsi="Arial Narrow" w:cs="Arial"/>
                <w:b/>
                <w:bCs/>
              </w:rPr>
              <w:t>1,351,387,438,819.42</w:t>
            </w:r>
          </w:p>
        </w:tc>
      </w:tr>
    </w:tbl>
    <w:p w:rsidR="006536A5" w:rsidRPr="00793FF1" w:rsidRDefault="006536A5" w:rsidP="006536A5">
      <w:pPr>
        <w:tabs>
          <w:tab w:val="left" w:pos="851"/>
        </w:tabs>
        <w:spacing w:before="120" w:after="120" w:line="360" w:lineRule="auto"/>
        <w:jc w:val="both"/>
        <w:rPr>
          <w:rFonts w:ascii="Arial" w:hAnsi="Arial" w:cs="Arial"/>
          <w:sz w:val="24"/>
          <w:szCs w:val="24"/>
        </w:rPr>
      </w:pPr>
      <w:r w:rsidRPr="00793FF1">
        <w:rPr>
          <w:rFonts w:ascii="Arial" w:hAnsi="Arial" w:cs="Arial"/>
          <w:sz w:val="24"/>
          <w:szCs w:val="24"/>
        </w:rPr>
        <w:t xml:space="preserve">       </w:t>
      </w:r>
      <w:proofErr w:type="gramStart"/>
      <w:r w:rsidRPr="00793FF1">
        <w:rPr>
          <w:rFonts w:ascii="Arial" w:hAnsi="Arial" w:cs="Arial"/>
          <w:i/>
          <w:sz w:val="16"/>
          <w:szCs w:val="16"/>
        </w:rPr>
        <w:t>Sumber :</w:t>
      </w:r>
      <w:proofErr w:type="gramEnd"/>
      <w:r w:rsidRPr="00793FF1">
        <w:rPr>
          <w:rFonts w:ascii="Arial" w:hAnsi="Arial" w:cs="Arial"/>
          <w:i/>
          <w:sz w:val="16"/>
          <w:szCs w:val="16"/>
        </w:rPr>
        <w:t xml:space="preserve"> BPKPAD Kab.Kepulauan Selayar.</w:t>
      </w:r>
    </w:p>
    <w:p w:rsidR="006536A5" w:rsidRPr="00793FF1" w:rsidRDefault="006536A5" w:rsidP="006536A5">
      <w:pPr>
        <w:tabs>
          <w:tab w:val="left" w:pos="851"/>
        </w:tabs>
        <w:spacing w:after="0" w:line="360" w:lineRule="auto"/>
        <w:jc w:val="both"/>
        <w:rPr>
          <w:rFonts w:ascii="Arial" w:hAnsi="Arial" w:cs="Arial"/>
          <w:sz w:val="24"/>
          <w:szCs w:val="24"/>
        </w:rPr>
      </w:pPr>
      <w:r w:rsidRPr="00793FF1">
        <w:rPr>
          <w:rFonts w:ascii="Arial" w:hAnsi="Arial" w:cs="Arial"/>
          <w:sz w:val="24"/>
          <w:szCs w:val="24"/>
        </w:rPr>
        <w:tab/>
        <w:t>Secara rinci target Perubahan Belanja Daerah tahun 2021 yang disesuaikan dengan Peraturan Pemerintah Nomor 12 Tahun 2019 tentang Pedoman Pengelolaan Keuangan Daerah dapat dilihat pada tabel berikut:</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Tabel 3.7</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Target Perubahan Belanja Daerah Kabupaten Kepulauan Selayar</w:t>
      </w:r>
    </w:p>
    <w:p w:rsidR="006536A5" w:rsidRPr="00793FF1" w:rsidRDefault="006536A5" w:rsidP="006536A5">
      <w:pPr>
        <w:spacing w:after="0" w:line="360" w:lineRule="auto"/>
        <w:jc w:val="center"/>
        <w:rPr>
          <w:rFonts w:ascii="Arial" w:hAnsi="Arial" w:cs="Arial"/>
          <w:b/>
        </w:rPr>
      </w:pPr>
      <w:r w:rsidRPr="00793FF1">
        <w:rPr>
          <w:rFonts w:ascii="Arial" w:hAnsi="Arial" w:cs="Arial"/>
          <w:b/>
        </w:rPr>
        <w:t>Tahun Anggaran 2021</w:t>
      </w:r>
    </w:p>
    <w:tbl>
      <w:tblPr>
        <w:tblW w:w="8319" w:type="dxa"/>
        <w:jc w:val="center"/>
        <w:tblLayout w:type="fixed"/>
        <w:tblLook w:val="04A0" w:firstRow="1" w:lastRow="0" w:firstColumn="1" w:lastColumn="0" w:noHBand="0" w:noVBand="1"/>
      </w:tblPr>
      <w:tblGrid>
        <w:gridCol w:w="709"/>
        <w:gridCol w:w="1838"/>
        <w:gridCol w:w="1661"/>
        <w:gridCol w:w="1701"/>
        <w:gridCol w:w="1559"/>
        <w:gridCol w:w="851"/>
      </w:tblGrid>
      <w:tr w:rsidR="00793FF1" w:rsidRPr="00793FF1" w:rsidTr="00BD793E">
        <w:trPr>
          <w:trHeight w:val="330"/>
          <w:tblHeader/>
          <w:jc w:val="center"/>
        </w:trPr>
        <w:tc>
          <w:tcPr>
            <w:tcW w:w="709"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No.</w:t>
            </w:r>
          </w:p>
        </w:tc>
        <w:tc>
          <w:tcPr>
            <w:tcW w:w="1838"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Uraian</w:t>
            </w:r>
          </w:p>
        </w:tc>
        <w:tc>
          <w:tcPr>
            <w:tcW w:w="1661"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Target RKPD Pokok Tahun 2021</w:t>
            </w:r>
          </w:p>
        </w:tc>
        <w:tc>
          <w:tcPr>
            <w:tcW w:w="1701"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Target Perubahan RKPD Tahun 2021</w:t>
            </w:r>
          </w:p>
        </w:tc>
        <w:tc>
          <w:tcPr>
            <w:tcW w:w="1559"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Bertambah/Berkurang</w:t>
            </w:r>
          </w:p>
        </w:tc>
        <w:tc>
          <w:tcPr>
            <w:tcW w:w="851"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w:t>
            </w:r>
          </w:p>
        </w:tc>
      </w:tr>
      <w:tr w:rsidR="00793FF1" w:rsidRPr="00793FF1" w:rsidTr="00BD793E">
        <w:trPr>
          <w:trHeight w:val="330"/>
          <w:tblHeader/>
          <w:jc w:val="center"/>
        </w:trPr>
        <w:tc>
          <w:tcPr>
            <w:tcW w:w="70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i/>
                <w:iCs/>
                <w:sz w:val="20"/>
                <w:szCs w:val="20"/>
              </w:rPr>
            </w:pPr>
            <w:r w:rsidRPr="00793FF1">
              <w:rPr>
                <w:rFonts w:ascii="Arial Narrow" w:eastAsia="Times New Roman" w:hAnsi="Arial Narrow" w:cs="Calibri"/>
                <w:i/>
                <w:iCs/>
                <w:sz w:val="20"/>
                <w:szCs w:val="20"/>
              </w:rPr>
              <w:t>1</w:t>
            </w:r>
          </w:p>
        </w:tc>
        <w:tc>
          <w:tcPr>
            <w:tcW w:w="1838"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i/>
                <w:iCs/>
                <w:sz w:val="20"/>
                <w:szCs w:val="20"/>
              </w:rPr>
            </w:pPr>
            <w:r w:rsidRPr="00793FF1">
              <w:rPr>
                <w:rFonts w:ascii="Arial Narrow" w:eastAsia="Times New Roman" w:hAnsi="Arial Narrow" w:cs="Calibri"/>
                <w:i/>
                <w:iCs/>
                <w:sz w:val="20"/>
                <w:szCs w:val="20"/>
              </w:rPr>
              <w:t>2</w:t>
            </w:r>
          </w:p>
        </w:tc>
        <w:tc>
          <w:tcPr>
            <w:tcW w:w="166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i/>
                <w:iCs/>
                <w:sz w:val="20"/>
                <w:szCs w:val="20"/>
              </w:rPr>
            </w:pPr>
            <w:r w:rsidRPr="00793FF1">
              <w:rPr>
                <w:rFonts w:ascii="Arial Narrow" w:eastAsia="Times New Roman" w:hAnsi="Arial Narrow" w:cs="Calibri"/>
                <w:i/>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i/>
                <w:iCs/>
                <w:sz w:val="20"/>
                <w:szCs w:val="20"/>
              </w:rPr>
            </w:pPr>
            <w:r w:rsidRPr="00793FF1">
              <w:rPr>
                <w:rFonts w:ascii="Arial Narrow" w:eastAsia="Times New Roman" w:hAnsi="Arial Narrow" w:cs="Calibri"/>
                <w:i/>
                <w:iCs/>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i/>
                <w:iCs/>
                <w:sz w:val="20"/>
                <w:szCs w:val="20"/>
              </w:rPr>
            </w:pPr>
            <w:r w:rsidRPr="00793FF1">
              <w:rPr>
                <w:rFonts w:ascii="Arial Narrow" w:eastAsia="Times New Roman" w:hAnsi="Arial Narrow" w:cs="Calibri"/>
                <w:i/>
                <w:iCs/>
                <w:sz w:val="20"/>
                <w:szCs w:val="20"/>
              </w:rPr>
              <w:t>5 = (4 - 3)</w:t>
            </w:r>
          </w:p>
        </w:tc>
        <w:tc>
          <w:tcPr>
            <w:tcW w:w="85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i/>
                <w:iCs/>
                <w:sz w:val="20"/>
                <w:szCs w:val="20"/>
              </w:rPr>
            </w:pPr>
            <w:r w:rsidRPr="00793FF1">
              <w:rPr>
                <w:rFonts w:ascii="Arial Narrow" w:eastAsia="Times New Roman" w:hAnsi="Arial Narrow" w:cs="Calibri"/>
                <w:i/>
                <w:iCs/>
                <w:sz w:val="20"/>
                <w:szCs w:val="20"/>
              </w:rPr>
              <w:t>6</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000000" w:fill="B4C6E7"/>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5</w:t>
            </w:r>
          </w:p>
        </w:tc>
        <w:tc>
          <w:tcPr>
            <w:tcW w:w="1838" w:type="dxa"/>
            <w:tcBorders>
              <w:top w:val="nil"/>
              <w:left w:val="nil"/>
              <w:bottom w:val="single" w:sz="4" w:space="0" w:color="auto"/>
              <w:right w:val="single" w:sz="4" w:space="0" w:color="auto"/>
            </w:tcBorders>
            <w:shd w:val="clear" w:color="000000" w:fill="B4C6E7"/>
            <w:vAlign w:val="center"/>
            <w:hideMark/>
          </w:tcPr>
          <w:p w:rsidR="006536A5" w:rsidRPr="00793FF1" w:rsidRDefault="006536A5" w:rsidP="00BD793E">
            <w:pPr>
              <w:spacing w:after="0" w:line="240" w:lineRule="auto"/>
              <w:rPr>
                <w:rFonts w:ascii="Arial Narrow" w:eastAsia="Times New Roman" w:hAnsi="Arial Narrow" w:cs="Calibri"/>
                <w:b/>
                <w:bCs/>
                <w:sz w:val="20"/>
                <w:szCs w:val="20"/>
              </w:rPr>
            </w:pPr>
            <w:r w:rsidRPr="00793FF1">
              <w:rPr>
                <w:rFonts w:ascii="Arial Narrow" w:eastAsia="Times New Roman" w:hAnsi="Arial Narrow" w:cs="Calibri"/>
                <w:b/>
                <w:bCs/>
                <w:sz w:val="20"/>
                <w:szCs w:val="20"/>
              </w:rPr>
              <w:t>BELANJA DAERAH</w:t>
            </w:r>
          </w:p>
        </w:tc>
        <w:tc>
          <w:tcPr>
            <w:tcW w:w="1661" w:type="dxa"/>
            <w:tcBorders>
              <w:top w:val="nil"/>
              <w:left w:val="nil"/>
              <w:bottom w:val="single" w:sz="4" w:space="0" w:color="auto"/>
              <w:right w:val="single" w:sz="4" w:space="0" w:color="auto"/>
            </w:tcBorders>
            <w:shd w:val="clear" w:color="000000" w:fill="B4C6E7"/>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w:t>
            </w:r>
          </w:p>
        </w:tc>
        <w:tc>
          <w:tcPr>
            <w:tcW w:w="1701" w:type="dxa"/>
            <w:tcBorders>
              <w:top w:val="nil"/>
              <w:left w:val="nil"/>
              <w:bottom w:val="single" w:sz="4" w:space="0" w:color="auto"/>
              <w:right w:val="single" w:sz="4" w:space="0" w:color="auto"/>
            </w:tcBorders>
            <w:shd w:val="clear" w:color="000000" w:fill="B4C6E7"/>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w:t>
            </w:r>
          </w:p>
        </w:tc>
        <w:tc>
          <w:tcPr>
            <w:tcW w:w="1559" w:type="dxa"/>
            <w:tcBorders>
              <w:top w:val="nil"/>
              <w:left w:val="nil"/>
              <w:bottom w:val="single" w:sz="4" w:space="0" w:color="auto"/>
              <w:right w:val="single" w:sz="4" w:space="0" w:color="auto"/>
            </w:tcBorders>
            <w:shd w:val="clear" w:color="000000" w:fill="B4C6E7"/>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w:t>
            </w:r>
          </w:p>
        </w:tc>
        <w:tc>
          <w:tcPr>
            <w:tcW w:w="851" w:type="dxa"/>
            <w:tcBorders>
              <w:top w:val="single" w:sz="4" w:space="0" w:color="auto"/>
              <w:left w:val="single" w:sz="4" w:space="0" w:color="auto"/>
              <w:bottom w:val="single" w:sz="4" w:space="0" w:color="auto"/>
              <w:right w:val="single" w:sz="4" w:space="0" w:color="auto"/>
            </w:tcBorders>
            <w:shd w:val="clear" w:color="000000" w:fill="B4C6E7"/>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5.1</w:t>
            </w:r>
          </w:p>
        </w:tc>
        <w:tc>
          <w:tcPr>
            <w:tcW w:w="1838"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rPr>
                <w:rFonts w:ascii="Arial Narrow" w:eastAsia="Times New Roman" w:hAnsi="Arial Narrow" w:cs="Calibri"/>
                <w:b/>
                <w:bCs/>
                <w:sz w:val="20"/>
                <w:szCs w:val="20"/>
              </w:rPr>
            </w:pPr>
            <w:r w:rsidRPr="00793FF1">
              <w:rPr>
                <w:rFonts w:ascii="Arial Narrow" w:eastAsia="Times New Roman" w:hAnsi="Arial Narrow" w:cs="Calibri"/>
                <w:b/>
                <w:bCs/>
                <w:sz w:val="20"/>
                <w:szCs w:val="20"/>
              </w:rPr>
              <w:t>Belanja Operasi</w:t>
            </w:r>
          </w:p>
        </w:tc>
        <w:tc>
          <w:tcPr>
            <w:tcW w:w="1661"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719,695,887,621 </w:t>
            </w:r>
          </w:p>
        </w:tc>
        <w:tc>
          <w:tcPr>
            <w:tcW w:w="1701"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760,930,145,825 </w:t>
            </w:r>
          </w:p>
        </w:tc>
        <w:tc>
          <w:tcPr>
            <w:tcW w:w="1559"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41,234,258,204 </w:t>
            </w:r>
          </w:p>
        </w:tc>
        <w:tc>
          <w:tcPr>
            <w:tcW w:w="851"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5.73 </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5.1.1</w:t>
            </w:r>
          </w:p>
        </w:tc>
        <w:tc>
          <w:tcPr>
            <w:tcW w:w="1838"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Belanja Pegawai</w:t>
            </w:r>
          </w:p>
        </w:tc>
        <w:tc>
          <w:tcPr>
            <w:tcW w:w="166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398,736,065,000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400,409,965,249 </w:t>
            </w:r>
          </w:p>
        </w:tc>
        <w:tc>
          <w:tcPr>
            <w:tcW w:w="1559"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1,673,900,249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0.42 </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5.1.2</w:t>
            </w:r>
          </w:p>
        </w:tc>
        <w:tc>
          <w:tcPr>
            <w:tcW w:w="1838"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Belanja Barang dan Jasa</w:t>
            </w:r>
          </w:p>
        </w:tc>
        <w:tc>
          <w:tcPr>
            <w:tcW w:w="166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274,722,279,954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313,978,951,849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39,256,671,895 </w:t>
            </w:r>
          </w:p>
        </w:tc>
        <w:tc>
          <w:tcPr>
            <w:tcW w:w="85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14.29 </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5.1.3</w:t>
            </w:r>
          </w:p>
        </w:tc>
        <w:tc>
          <w:tcPr>
            <w:tcW w:w="1838"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Belanja Bunga</w:t>
            </w:r>
          </w:p>
        </w:tc>
        <w:tc>
          <w:tcPr>
            <w:tcW w:w="166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559"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5.1.4</w:t>
            </w:r>
          </w:p>
        </w:tc>
        <w:tc>
          <w:tcPr>
            <w:tcW w:w="1838"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Belanja Subsidi</w:t>
            </w:r>
          </w:p>
        </w:tc>
        <w:tc>
          <w:tcPr>
            <w:tcW w:w="166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5.1.5</w:t>
            </w:r>
          </w:p>
        </w:tc>
        <w:tc>
          <w:tcPr>
            <w:tcW w:w="1838"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Belanja Hibah</w:t>
            </w:r>
          </w:p>
        </w:tc>
        <w:tc>
          <w:tcPr>
            <w:tcW w:w="166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36,296,479,667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37,152,971,727 </w:t>
            </w:r>
          </w:p>
        </w:tc>
        <w:tc>
          <w:tcPr>
            <w:tcW w:w="1559"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856,492,060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2.36 </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5.1.6</w:t>
            </w:r>
          </w:p>
        </w:tc>
        <w:tc>
          <w:tcPr>
            <w:tcW w:w="1838"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Belanja Bantuan Sosial</w:t>
            </w:r>
          </w:p>
        </w:tc>
        <w:tc>
          <w:tcPr>
            <w:tcW w:w="166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9,941,063,000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9,388,257,000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(552,806,000)</w:t>
            </w:r>
          </w:p>
        </w:tc>
        <w:tc>
          <w:tcPr>
            <w:tcW w:w="85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(5.56)</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5.2</w:t>
            </w:r>
          </w:p>
        </w:tc>
        <w:tc>
          <w:tcPr>
            <w:tcW w:w="1838"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rPr>
                <w:rFonts w:ascii="Arial Narrow" w:eastAsia="Times New Roman" w:hAnsi="Arial Narrow" w:cs="Calibri"/>
                <w:b/>
                <w:bCs/>
                <w:sz w:val="20"/>
                <w:szCs w:val="20"/>
              </w:rPr>
            </w:pPr>
            <w:r w:rsidRPr="00793FF1">
              <w:rPr>
                <w:rFonts w:ascii="Arial Narrow" w:eastAsia="Times New Roman" w:hAnsi="Arial Narrow" w:cs="Calibri"/>
                <w:b/>
                <w:bCs/>
                <w:sz w:val="20"/>
                <w:szCs w:val="20"/>
              </w:rPr>
              <w:t>Belanja Modal</w:t>
            </w:r>
          </w:p>
        </w:tc>
        <w:tc>
          <w:tcPr>
            <w:tcW w:w="1661"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234,471,060,112 </w:t>
            </w:r>
          </w:p>
        </w:tc>
        <w:tc>
          <w:tcPr>
            <w:tcW w:w="1701"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195,270,260,206 </w:t>
            </w:r>
          </w:p>
        </w:tc>
        <w:tc>
          <w:tcPr>
            <w:tcW w:w="1559"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(39,200,799,906)</w:t>
            </w:r>
          </w:p>
        </w:tc>
        <w:tc>
          <w:tcPr>
            <w:tcW w:w="851"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(16.72)</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5.2.1</w:t>
            </w:r>
          </w:p>
        </w:tc>
        <w:tc>
          <w:tcPr>
            <w:tcW w:w="1838"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Belanja Tanah</w:t>
            </w:r>
          </w:p>
        </w:tc>
        <w:tc>
          <w:tcPr>
            <w:tcW w:w="166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3,400,000,000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3,378,046,000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(21,954,000)</w:t>
            </w:r>
          </w:p>
        </w:tc>
        <w:tc>
          <w:tcPr>
            <w:tcW w:w="85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(0.65)</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5.2.2</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Belanja Peralatan dan Mesin</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101,022,928,713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58,606,282,404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(42,416,646,309)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(41.99)</w:t>
            </w:r>
          </w:p>
        </w:tc>
      </w:tr>
      <w:tr w:rsidR="00793FF1" w:rsidRPr="00793FF1" w:rsidTr="00BD793E">
        <w:trPr>
          <w:trHeight w:val="405"/>
          <w:jc w:val="center"/>
        </w:trPr>
        <w:tc>
          <w:tcPr>
            <w:tcW w:w="70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5.2.3</w:t>
            </w:r>
          </w:p>
        </w:tc>
        <w:tc>
          <w:tcPr>
            <w:tcW w:w="1838"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Belanja Bangunan dan Gedung</w:t>
            </w:r>
          </w:p>
        </w:tc>
        <w:tc>
          <w:tcPr>
            <w:tcW w:w="166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40,266,532,219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48,656,863,907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8,390,331,688 </w:t>
            </w:r>
          </w:p>
        </w:tc>
        <w:tc>
          <w:tcPr>
            <w:tcW w:w="85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20.84 </w:t>
            </w:r>
          </w:p>
        </w:tc>
      </w:tr>
      <w:tr w:rsidR="00793FF1" w:rsidRPr="00793FF1" w:rsidTr="00BD793E">
        <w:trPr>
          <w:trHeight w:val="660"/>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5.2.5</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Belanja Jalan, Irigasi dan Jaringan</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89,558,283,180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84,229,067,895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(5,329,215,285)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(5.95)</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5.2.6</w:t>
            </w:r>
          </w:p>
        </w:tc>
        <w:tc>
          <w:tcPr>
            <w:tcW w:w="1838"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Belanja Aset Tetap Lainnya</w:t>
            </w:r>
          </w:p>
        </w:tc>
        <w:tc>
          <w:tcPr>
            <w:tcW w:w="166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215,000,000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200,000,000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(15,000,000)</w:t>
            </w:r>
          </w:p>
        </w:tc>
        <w:tc>
          <w:tcPr>
            <w:tcW w:w="85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(6.98)</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5.2.7</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Belanja Aset Lainnya</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8,316,000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200,000,000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191,684,000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2,305.00 </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5.3</w:t>
            </w:r>
          </w:p>
        </w:tc>
        <w:tc>
          <w:tcPr>
            <w:tcW w:w="1838"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rPr>
                <w:rFonts w:ascii="Arial Narrow" w:eastAsia="Times New Roman" w:hAnsi="Arial Narrow" w:cs="Calibri"/>
                <w:b/>
                <w:bCs/>
                <w:sz w:val="20"/>
                <w:szCs w:val="20"/>
              </w:rPr>
            </w:pPr>
            <w:r w:rsidRPr="00793FF1">
              <w:rPr>
                <w:rFonts w:ascii="Arial Narrow" w:eastAsia="Times New Roman" w:hAnsi="Arial Narrow" w:cs="Calibri"/>
                <w:b/>
                <w:bCs/>
                <w:sz w:val="20"/>
                <w:szCs w:val="20"/>
              </w:rPr>
              <w:t>Belanja Tidak Terduga</w:t>
            </w:r>
          </w:p>
        </w:tc>
        <w:tc>
          <w:tcPr>
            <w:tcW w:w="1661"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2,000,000,000 </w:t>
            </w:r>
          </w:p>
        </w:tc>
        <w:tc>
          <w:tcPr>
            <w:tcW w:w="1701"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3,000,000,000 </w:t>
            </w:r>
          </w:p>
        </w:tc>
        <w:tc>
          <w:tcPr>
            <w:tcW w:w="1559"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1,000,000,000 </w:t>
            </w:r>
          </w:p>
        </w:tc>
        <w:tc>
          <w:tcPr>
            <w:tcW w:w="851"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50.00 </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5.4</w:t>
            </w:r>
          </w:p>
        </w:tc>
        <w:tc>
          <w:tcPr>
            <w:tcW w:w="1838"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rPr>
                <w:rFonts w:ascii="Arial Narrow" w:eastAsia="Times New Roman" w:hAnsi="Arial Narrow" w:cs="Calibri"/>
                <w:b/>
                <w:bCs/>
                <w:sz w:val="20"/>
                <w:szCs w:val="20"/>
              </w:rPr>
            </w:pPr>
            <w:r w:rsidRPr="00793FF1">
              <w:rPr>
                <w:rFonts w:ascii="Arial Narrow" w:eastAsia="Times New Roman" w:hAnsi="Arial Narrow" w:cs="Calibri"/>
                <w:b/>
                <w:bCs/>
                <w:sz w:val="20"/>
                <w:szCs w:val="20"/>
              </w:rPr>
              <w:t>Belanja Transfer</w:t>
            </w:r>
          </w:p>
        </w:tc>
        <w:tc>
          <w:tcPr>
            <w:tcW w:w="1661"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155,135,897,000 </w:t>
            </w:r>
          </w:p>
        </w:tc>
        <w:tc>
          <w:tcPr>
            <w:tcW w:w="1701"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155,135,897,000 </w:t>
            </w:r>
          </w:p>
        </w:tc>
        <w:tc>
          <w:tcPr>
            <w:tcW w:w="1559"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 </w:t>
            </w:r>
          </w:p>
        </w:tc>
        <w:tc>
          <w:tcPr>
            <w:tcW w:w="851"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 </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5.4.1</w:t>
            </w:r>
          </w:p>
        </w:tc>
        <w:tc>
          <w:tcPr>
            <w:tcW w:w="1838"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Belanja Bagi Hasil</w:t>
            </w:r>
          </w:p>
        </w:tc>
        <w:tc>
          <w:tcPr>
            <w:tcW w:w="166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1,500,000,000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1,500,000,000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5.4.2</w:t>
            </w:r>
          </w:p>
        </w:tc>
        <w:tc>
          <w:tcPr>
            <w:tcW w:w="1838"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Belanja Bantuan Keuangan</w:t>
            </w:r>
          </w:p>
        </w:tc>
        <w:tc>
          <w:tcPr>
            <w:tcW w:w="166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153,635,897,000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153,635,897,000 </w:t>
            </w:r>
          </w:p>
        </w:tc>
        <w:tc>
          <w:tcPr>
            <w:tcW w:w="1559"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660"/>
          <w:jc w:val="center"/>
        </w:trPr>
        <w:tc>
          <w:tcPr>
            <w:tcW w:w="2547" w:type="dxa"/>
            <w:gridSpan w:val="2"/>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lastRenderedPageBreak/>
              <w:t>Jumlah Belanja</w:t>
            </w:r>
          </w:p>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 </w:t>
            </w:r>
          </w:p>
        </w:tc>
        <w:tc>
          <w:tcPr>
            <w:tcW w:w="166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1,111,302,844,733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1,114,336,303,031 </w:t>
            </w:r>
          </w:p>
        </w:tc>
        <w:tc>
          <w:tcPr>
            <w:tcW w:w="155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3,033,458,298 </w:t>
            </w:r>
          </w:p>
        </w:tc>
        <w:tc>
          <w:tcPr>
            <w:tcW w:w="85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0.27 </w:t>
            </w:r>
          </w:p>
        </w:tc>
      </w:tr>
      <w:tr w:rsidR="00793FF1" w:rsidRPr="00793FF1" w:rsidTr="00BD793E">
        <w:trPr>
          <w:trHeight w:val="660"/>
          <w:jc w:val="center"/>
        </w:trPr>
        <w:tc>
          <w:tcPr>
            <w:tcW w:w="25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Surplus/Defisit</w:t>
            </w:r>
          </w:p>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 </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(19,044,884,733)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(65,488,955,992)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(46,444,071,259)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243.87 </w:t>
            </w:r>
          </w:p>
        </w:tc>
      </w:tr>
    </w:tbl>
    <w:p w:rsidR="006536A5" w:rsidRPr="00793FF1" w:rsidRDefault="006536A5" w:rsidP="006536A5">
      <w:pPr>
        <w:spacing w:before="120" w:after="120" w:line="360" w:lineRule="auto"/>
        <w:rPr>
          <w:rFonts w:ascii="Arial" w:hAnsi="Arial" w:cs="Arial"/>
          <w:sz w:val="24"/>
          <w:szCs w:val="24"/>
          <w:lang w:val="en-ID"/>
        </w:rPr>
      </w:pPr>
      <w:proofErr w:type="gramStart"/>
      <w:r w:rsidRPr="00793FF1">
        <w:rPr>
          <w:rFonts w:ascii="Arial" w:hAnsi="Arial" w:cs="Arial"/>
          <w:i/>
          <w:sz w:val="16"/>
          <w:szCs w:val="16"/>
        </w:rPr>
        <w:t>Sumber :</w:t>
      </w:r>
      <w:proofErr w:type="gramEnd"/>
      <w:r w:rsidRPr="00793FF1">
        <w:rPr>
          <w:rFonts w:ascii="Arial" w:hAnsi="Arial" w:cs="Arial"/>
          <w:i/>
          <w:sz w:val="16"/>
          <w:szCs w:val="16"/>
        </w:rPr>
        <w:t xml:space="preserve"> BPKPAD Kab.Kepulauan Selayar, 2021.</w:t>
      </w:r>
    </w:p>
    <w:p w:rsidR="006536A5" w:rsidRPr="00793FF1" w:rsidRDefault="006536A5" w:rsidP="006536A5">
      <w:pPr>
        <w:tabs>
          <w:tab w:val="left" w:pos="851"/>
        </w:tabs>
        <w:spacing w:after="120" w:line="360" w:lineRule="auto"/>
        <w:jc w:val="both"/>
        <w:rPr>
          <w:rFonts w:ascii="Arial" w:hAnsi="Arial" w:cs="Arial"/>
          <w:sz w:val="24"/>
          <w:szCs w:val="24"/>
        </w:rPr>
      </w:pPr>
      <w:r w:rsidRPr="00793FF1">
        <w:rPr>
          <w:rFonts w:ascii="Arial" w:hAnsi="Arial" w:cs="Arial"/>
          <w:sz w:val="24"/>
          <w:szCs w:val="24"/>
        </w:rPr>
        <w:tab/>
        <w:t>Tabel di atas menunjukkan kenaikan belanja pada Perubahan RKPD sebesar 0</w:t>
      </w:r>
      <w:proofErr w:type="gramStart"/>
      <w:r w:rsidRPr="00793FF1">
        <w:rPr>
          <w:rFonts w:ascii="Arial" w:hAnsi="Arial" w:cs="Arial"/>
          <w:sz w:val="24"/>
          <w:szCs w:val="24"/>
        </w:rPr>
        <w:t>,27</w:t>
      </w:r>
      <w:proofErr w:type="gramEnd"/>
      <w:r w:rsidRPr="00793FF1">
        <w:rPr>
          <w:rFonts w:ascii="Arial" w:hAnsi="Arial" w:cs="Arial"/>
          <w:sz w:val="24"/>
          <w:szCs w:val="24"/>
        </w:rPr>
        <w:t>% dibandingkan belanja pada target RKPD Pokok. Kenaikan belanja disumbang oleh bertambahnya Belanja Operasi. Pada pos Belanja Operasi, pemerintah daerah menaikkan Belanja Pegawai (0,42%) yang bersumber dari SiLPA DAK Non Fisik, menaikkan Belanja Hibah (2,32%) yang bersumber dari SiLPA DAU dan menurunkan Belanja Bantuan Sosial (5,56%). Pada pos Belanja Modal dan Belanja Tidak Terduga, terjadi penurunan masing-masing sebesar 16</w:t>
      </w:r>
      <w:proofErr w:type="gramStart"/>
      <w:r w:rsidRPr="00793FF1">
        <w:rPr>
          <w:rFonts w:ascii="Arial" w:hAnsi="Arial" w:cs="Arial"/>
          <w:sz w:val="24"/>
          <w:szCs w:val="24"/>
        </w:rPr>
        <w:t>,63</w:t>
      </w:r>
      <w:proofErr w:type="gramEnd"/>
      <w:r w:rsidRPr="00793FF1">
        <w:rPr>
          <w:rFonts w:ascii="Arial" w:hAnsi="Arial" w:cs="Arial"/>
          <w:sz w:val="24"/>
          <w:szCs w:val="24"/>
        </w:rPr>
        <w:t xml:space="preserve">% dan 10,00%. Belanja Tidak Terduga yang dialokasikan pada beberapa OPD </w:t>
      </w:r>
      <w:proofErr w:type="gramStart"/>
      <w:r w:rsidRPr="00793FF1">
        <w:rPr>
          <w:rFonts w:ascii="Arial" w:hAnsi="Arial" w:cs="Arial"/>
          <w:sz w:val="24"/>
          <w:szCs w:val="24"/>
        </w:rPr>
        <w:t>akan</w:t>
      </w:r>
      <w:proofErr w:type="gramEnd"/>
      <w:r w:rsidRPr="00793FF1">
        <w:rPr>
          <w:rFonts w:ascii="Arial" w:hAnsi="Arial" w:cs="Arial"/>
          <w:sz w:val="24"/>
          <w:szCs w:val="24"/>
        </w:rPr>
        <w:t xml:space="preserve"> digunakan untuk kegiatan</w:t>
      </w:r>
      <w:r w:rsidRPr="00793FF1">
        <w:rPr>
          <w:rFonts w:ascii="Arial" w:hAnsi="Arial" w:cs="Arial"/>
          <w:sz w:val="24"/>
          <w:szCs w:val="24"/>
          <w:lang w:val="id-ID"/>
        </w:rPr>
        <w:t xml:space="preserve"> percepatan penanganan </w:t>
      </w:r>
      <w:r w:rsidRPr="00793FF1">
        <w:rPr>
          <w:rFonts w:ascii="Arial" w:hAnsi="Arial" w:cs="Arial"/>
          <w:sz w:val="24"/>
          <w:szCs w:val="24"/>
          <w:lang w:val="en-ID"/>
        </w:rPr>
        <w:t xml:space="preserve">pandemi COVID-19 </w:t>
      </w:r>
      <w:r w:rsidRPr="00793FF1">
        <w:rPr>
          <w:rFonts w:ascii="Arial" w:hAnsi="Arial" w:cs="Arial"/>
          <w:sz w:val="24"/>
          <w:szCs w:val="24"/>
        </w:rPr>
        <w:t>dan antisipasi bencana alam.</w:t>
      </w:r>
    </w:p>
    <w:p w:rsidR="006536A5" w:rsidRPr="00793FF1" w:rsidRDefault="006536A5" w:rsidP="00611D25">
      <w:pPr>
        <w:pStyle w:val="ListParagraph"/>
        <w:numPr>
          <w:ilvl w:val="0"/>
          <w:numId w:val="63"/>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rPr>
        <w:t>Perubahan Kebijakan Pembiayaan Daerah</w:t>
      </w:r>
    </w:p>
    <w:p w:rsidR="006536A5" w:rsidRPr="00793FF1" w:rsidRDefault="006536A5" w:rsidP="006536A5">
      <w:pPr>
        <w:tabs>
          <w:tab w:val="left" w:pos="851"/>
        </w:tabs>
        <w:spacing w:after="120" w:line="360" w:lineRule="auto"/>
        <w:jc w:val="both"/>
        <w:rPr>
          <w:rFonts w:ascii="Arial" w:hAnsi="Arial" w:cs="Arial"/>
          <w:sz w:val="24"/>
          <w:szCs w:val="24"/>
        </w:rPr>
      </w:pPr>
      <w:r w:rsidRPr="00793FF1">
        <w:rPr>
          <w:rFonts w:ascii="Arial" w:hAnsi="Arial" w:cs="Arial"/>
          <w:sz w:val="24"/>
          <w:szCs w:val="24"/>
        </w:rPr>
        <w:tab/>
        <w:t>Pembiayaan merupakan transaksi keuangan yang dimaksudkan untuk menutupi defisit anggaran atau penggunaan dari surplus anggaran. Transaksi pembiayaan dapat berupa penerimaan maupun pengeluaran yang  perlu dibayar  kembali/diterima kembali,  baik  pada  tahun  anggaran  yang  bersangkutan maupun  tahun-tahun  anggaran  berikutnya.  Pembiayaan terdiri atas penerimaan pembiayaan dan pengeluaran pembiayaan. Rencana pembiayaan daerah diprioritaskan untuk selalu surplus dalam pembiayaan netto agar dapat menutup defisit anggaran pada saat pendapatan daerah lebih kecil dibandingkan dengan belanja daerah.</w:t>
      </w:r>
    </w:p>
    <w:p w:rsidR="006536A5" w:rsidRPr="00793FF1" w:rsidRDefault="006536A5" w:rsidP="00611D25">
      <w:pPr>
        <w:pStyle w:val="ListParagraph"/>
        <w:numPr>
          <w:ilvl w:val="0"/>
          <w:numId w:val="66"/>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rPr>
        <w:t>Penerimaan Pembiayaan</w:t>
      </w:r>
    </w:p>
    <w:p w:rsidR="006536A5" w:rsidRPr="00793FF1" w:rsidRDefault="006536A5" w:rsidP="006536A5">
      <w:pPr>
        <w:tabs>
          <w:tab w:val="left" w:pos="851"/>
        </w:tabs>
        <w:spacing w:after="120" w:line="360" w:lineRule="auto"/>
        <w:jc w:val="both"/>
        <w:rPr>
          <w:rFonts w:ascii="Arial" w:hAnsi="Arial" w:cs="Arial"/>
          <w:sz w:val="24"/>
          <w:szCs w:val="24"/>
        </w:rPr>
      </w:pPr>
      <w:r w:rsidRPr="00793FF1">
        <w:rPr>
          <w:rFonts w:ascii="Arial" w:hAnsi="Arial" w:cs="Arial"/>
          <w:sz w:val="24"/>
          <w:szCs w:val="24"/>
        </w:rPr>
        <w:tab/>
        <w:t xml:space="preserve">Sumber Penerimaan Pembiayaan direncanakan berasal dari </w:t>
      </w:r>
      <w:proofErr w:type="gramStart"/>
      <w:r w:rsidRPr="00793FF1">
        <w:rPr>
          <w:rFonts w:ascii="Arial" w:hAnsi="Arial" w:cs="Arial"/>
          <w:sz w:val="24"/>
          <w:szCs w:val="24"/>
        </w:rPr>
        <w:t>Sisa  Lebih</w:t>
      </w:r>
      <w:proofErr w:type="gramEnd"/>
      <w:r w:rsidRPr="00793FF1">
        <w:rPr>
          <w:rFonts w:ascii="Arial" w:hAnsi="Arial" w:cs="Arial"/>
          <w:sz w:val="24"/>
          <w:szCs w:val="24"/>
        </w:rPr>
        <w:t xml:space="preserve"> Perhitungan Anggaran (SiLPA) Tahun 2020. SiLPA berasal dari pos pelampauan pendapatan daerah baik yang berasal dari pemerintah daerah, provinsi, pusat, maupun sumber lainnya serta sisa penghematan belanja atau akibat lainnya. Pada Perubahan RKPD Kabupaten Kepulauan Selayar Tahun Anggaran 2021 Penerimaan Pembiayaan Daerah yang berasal dari SiLPA ditetapkan sebesar Rp.67</w:t>
      </w:r>
      <w:proofErr w:type="gramStart"/>
      <w:r w:rsidRPr="00793FF1">
        <w:rPr>
          <w:rFonts w:ascii="Arial" w:hAnsi="Arial" w:cs="Arial"/>
          <w:sz w:val="24"/>
          <w:szCs w:val="24"/>
        </w:rPr>
        <w:t>,488,955,992.07</w:t>
      </w:r>
      <w:proofErr w:type="gramEnd"/>
      <w:r w:rsidRPr="00793FF1">
        <w:rPr>
          <w:rFonts w:ascii="Arial" w:hAnsi="Arial" w:cs="Arial"/>
          <w:sz w:val="24"/>
          <w:szCs w:val="24"/>
        </w:rPr>
        <w:t xml:space="preserve">,- atau naik Rp.46,444,071,259.07,- </w:t>
      </w:r>
      <w:r w:rsidRPr="00793FF1">
        <w:rPr>
          <w:rFonts w:ascii="Arial" w:hAnsi="Arial" w:cs="Arial"/>
          <w:sz w:val="24"/>
          <w:szCs w:val="24"/>
        </w:rPr>
        <w:lastRenderedPageBreak/>
        <w:t xml:space="preserve">dibandingkan target RKPD Kabupaten Kepulauan Selayar Tahun Anggaran 2021. </w:t>
      </w:r>
    </w:p>
    <w:p w:rsidR="006536A5" w:rsidRPr="00793FF1" w:rsidRDefault="006536A5" w:rsidP="00611D25">
      <w:pPr>
        <w:pStyle w:val="ListParagraph"/>
        <w:numPr>
          <w:ilvl w:val="0"/>
          <w:numId w:val="66"/>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rPr>
        <w:t>Pengeluaran Pembiayaan</w:t>
      </w:r>
    </w:p>
    <w:p w:rsidR="006536A5" w:rsidRPr="00793FF1" w:rsidRDefault="006536A5" w:rsidP="006536A5">
      <w:pPr>
        <w:pStyle w:val="ListParagraph"/>
        <w:spacing w:after="120" w:line="360" w:lineRule="auto"/>
        <w:ind w:left="0" w:firstLine="851"/>
        <w:contextualSpacing w:val="0"/>
        <w:jc w:val="both"/>
        <w:rPr>
          <w:rFonts w:ascii="Arial" w:hAnsi="Arial" w:cs="Arial"/>
          <w:sz w:val="24"/>
          <w:szCs w:val="24"/>
        </w:rPr>
      </w:pPr>
      <w:r w:rsidRPr="00793FF1">
        <w:rPr>
          <w:rFonts w:ascii="Arial" w:hAnsi="Arial" w:cs="Arial"/>
          <w:sz w:val="24"/>
          <w:szCs w:val="24"/>
        </w:rPr>
        <w:t>Kebijakan Pengeluaran Pembiayaan pada Perubahan RKPD Kabupaten Kepulauan Selayar Tahun Anggaran 2021 secara akumulasi dialokasikan sebesar Rp2.000.000.000.00</w:t>
      </w:r>
      <w:proofErr w:type="gramStart"/>
      <w:r w:rsidRPr="00793FF1">
        <w:rPr>
          <w:rFonts w:ascii="Arial" w:hAnsi="Arial" w:cs="Arial"/>
          <w:sz w:val="24"/>
          <w:szCs w:val="24"/>
        </w:rPr>
        <w:t>,-</w:t>
      </w:r>
      <w:proofErr w:type="gramEnd"/>
      <w:r w:rsidRPr="00793FF1">
        <w:rPr>
          <w:rFonts w:ascii="Arial" w:hAnsi="Arial" w:cs="Arial"/>
          <w:sz w:val="24"/>
          <w:szCs w:val="24"/>
        </w:rPr>
        <w:t xml:space="preserve"> nilainya sama dengan target RKPD Kabupaten Kepulauan Selayar Tahun Anggaran 2021. Pengeluaran Pembiayaan Daerah </w:t>
      </w:r>
      <w:r w:rsidRPr="00793FF1">
        <w:rPr>
          <w:rFonts w:ascii="Arial" w:hAnsi="Arial" w:cs="Arial"/>
          <w:sz w:val="24"/>
          <w:szCs w:val="24"/>
          <w:lang w:val="id-ID"/>
        </w:rPr>
        <w:t>direncanakan</w:t>
      </w:r>
      <w:r w:rsidRPr="00793FF1">
        <w:rPr>
          <w:rFonts w:ascii="Arial" w:hAnsi="Arial" w:cs="Arial"/>
          <w:sz w:val="24"/>
          <w:szCs w:val="24"/>
        </w:rPr>
        <w:t xml:space="preserve"> untuk Penyertaan Modal Pemerintah </w:t>
      </w:r>
      <w:r w:rsidRPr="00793FF1">
        <w:rPr>
          <w:rFonts w:ascii="Arial" w:hAnsi="Arial" w:cs="Arial"/>
          <w:sz w:val="24"/>
          <w:szCs w:val="24"/>
          <w:lang w:val="id-ID"/>
        </w:rPr>
        <w:t xml:space="preserve">Daerah </w:t>
      </w:r>
      <w:r w:rsidRPr="00793FF1">
        <w:rPr>
          <w:rFonts w:ascii="Arial" w:hAnsi="Arial" w:cs="Arial"/>
          <w:sz w:val="24"/>
          <w:szCs w:val="24"/>
        </w:rPr>
        <w:t>(PMP</w:t>
      </w:r>
      <w:r w:rsidRPr="00793FF1">
        <w:rPr>
          <w:rFonts w:ascii="Arial" w:hAnsi="Arial" w:cs="Arial"/>
          <w:sz w:val="24"/>
          <w:szCs w:val="24"/>
          <w:lang w:val="id-ID"/>
        </w:rPr>
        <w:t>D</w:t>
      </w:r>
      <w:r w:rsidRPr="00793FF1">
        <w:rPr>
          <w:rFonts w:ascii="Arial" w:hAnsi="Arial" w:cs="Arial"/>
          <w:sz w:val="24"/>
          <w:szCs w:val="24"/>
        </w:rPr>
        <w:t xml:space="preserve">) pada </w:t>
      </w:r>
      <w:r w:rsidRPr="00793FF1">
        <w:rPr>
          <w:rFonts w:ascii="Arial" w:hAnsi="Arial" w:cs="Arial"/>
          <w:sz w:val="24"/>
          <w:szCs w:val="24"/>
          <w:lang w:val="id-ID"/>
        </w:rPr>
        <w:t xml:space="preserve">Bank Sulselbar dan Bank Perkreditan Rakyat (BPR) Pesisir Tana Doang. </w:t>
      </w:r>
    </w:p>
    <w:p w:rsidR="006536A5" w:rsidRPr="00793FF1" w:rsidRDefault="006536A5" w:rsidP="00611D25">
      <w:pPr>
        <w:pStyle w:val="ListParagraph"/>
        <w:numPr>
          <w:ilvl w:val="0"/>
          <w:numId w:val="66"/>
        </w:numPr>
        <w:tabs>
          <w:tab w:val="left" w:pos="851"/>
        </w:tabs>
        <w:spacing w:after="0" w:line="360" w:lineRule="auto"/>
        <w:ind w:left="426" w:hanging="426"/>
        <w:rPr>
          <w:rFonts w:ascii="Arial" w:hAnsi="Arial" w:cs="Arial"/>
          <w:b/>
          <w:sz w:val="24"/>
          <w:szCs w:val="24"/>
        </w:rPr>
      </w:pPr>
      <w:r w:rsidRPr="00793FF1">
        <w:rPr>
          <w:rFonts w:ascii="Arial" w:hAnsi="Arial" w:cs="Arial"/>
          <w:b/>
          <w:sz w:val="24"/>
          <w:szCs w:val="24"/>
        </w:rPr>
        <w:t>Sisa Lebih Pembiayaan (SiLPA) Tahun Berjalan</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Sisa Lebih Pembiayaan Anggaran Tahun Berjalan adalah selisih antara surplus/defisit anggaran dengan pembiayaan netto. Dalam penyusunan APBD Pemerintah Daerah akan melakukan pengendalian batas maksimal defisit Anggaran Pendapatan Belanja Daerah Tahun Anggaran 2021 dengan berpedoman pada penetapan batas maksimal defisit Anggaran Pendapatan Belanja Daerah berdasarkan Peraturan Menteri Keuangan tentang Batas Maksimal Defisit Anggaran Pendapatan Belanja Daerah.</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Selengkapnya Target Perubahan Pembiayaan Daerah tahun 2021 dapat dilihat pada Tabel berikut:</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Tabel 3.8</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Struktur Pembiayaan Daerah Kabupaten Kepulauan Selayar</w:t>
      </w:r>
    </w:p>
    <w:p w:rsidR="006536A5" w:rsidRPr="00793FF1" w:rsidRDefault="006536A5" w:rsidP="006536A5">
      <w:pPr>
        <w:spacing w:after="0" w:line="360" w:lineRule="auto"/>
        <w:jc w:val="center"/>
        <w:rPr>
          <w:rFonts w:ascii="Arial" w:hAnsi="Arial" w:cs="Arial"/>
          <w:b/>
        </w:rPr>
      </w:pPr>
      <w:r w:rsidRPr="00793FF1">
        <w:rPr>
          <w:rFonts w:ascii="Arial" w:hAnsi="Arial" w:cs="Arial"/>
          <w:b/>
        </w:rPr>
        <w:t>Pada RPJMD Tahun Anggaran 2021</w:t>
      </w:r>
    </w:p>
    <w:tbl>
      <w:tblPr>
        <w:tblW w:w="7088" w:type="dxa"/>
        <w:jc w:val="center"/>
        <w:tblLook w:val="04A0" w:firstRow="1" w:lastRow="0" w:firstColumn="1" w:lastColumn="0" w:noHBand="0" w:noVBand="1"/>
      </w:tblPr>
      <w:tblGrid>
        <w:gridCol w:w="820"/>
        <w:gridCol w:w="4142"/>
        <w:gridCol w:w="2126"/>
      </w:tblGrid>
      <w:tr w:rsidR="00793FF1" w:rsidRPr="00793FF1" w:rsidTr="00BD793E">
        <w:trPr>
          <w:trHeight w:val="300"/>
          <w:tblHeader/>
          <w:jc w:val="center"/>
        </w:trPr>
        <w:tc>
          <w:tcPr>
            <w:tcW w:w="820" w:type="dxa"/>
            <w:tcBorders>
              <w:top w:val="single" w:sz="4" w:space="0" w:color="C9C9C9"/>
              <w:left w:val="single" w:sz="4" w:space="0" w:color="C9C9C9"/>
              <w:bottom w:val="single" w:sz="4" w:space="0" w:color="C9C9C9"/>
              <w:right w:val="single" w:sz="4" w:space="0" w:color="C9C9C9"/>
            </w:tcBorders>
            <w:shd w:val="clear" w:color="EDEDED" w:fill="EDEDED"/>
            <w:noWrap/>
            <w:vAlign w:val="bottom"/>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t>No</w:t>
            </w:r>
          </w:p>
        </w:tc>
        <w:tc>
          <w:tcPr>
            <w:tcW w:w="4142" w:type="dxa"/>
            <w:tcBorders>
              <w:top w:val="single" w:sz="4" w:space="0" w:color="C9C9C9"/>
              <w:left w:val="single" w:sz="4" w:space="0" w:color="C9C9C9"/>
              <w:bottom w:val="single" w:sz="4" w:space="0" w:color="C9C9C9"/>
              <w:right w:val="single" w:sz="4" w:space="0" w:color="C9C9C9"/>
            </w:tcBorders>
            <w:shd w:val="clear" w:color="EDEDED" w:fill="EDEDED"/>
            <w:noWrap/>
            <w:vAlign w:val="bottom"/>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t>Uraian</w:t>
            </w:r>
          </w:p>
        </w:tc>
        <w:tc>
          <w:tcPr>
            <w:tcW w:w="2126" w:type="dxa"/>
            <w:tcBorders>
              <w:top w:val="single" w:sz="4" w:space="0" w:color="C9C9C9"/>
              <w:left w:val="single" w:sz="4" w:space="0" w:color="C9C9C9"/>
              <w:bottom w:val="single" w:sz="4" w:space="0" w:color="C9C9C9"/>
              <w:right w:val="single" w:sz="4" w:space="0" w:color="C9C9C9"/>
            </w:tcBorders>
            <w:shd w:val="clear" w:color="EDEDED" w:fill="EDEDED"/>
            <w:noWrap/>
            <w:vAlign w:val="bottom"/>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t>Tahun 2021</w:t>
            </w:r>
          </w:p>
        </w:tc>
      </w:tr>
      <w:tr w:rsidR="00793FF1" w:rsidRPr="00793FF1" w:rsidTr="00BD793E">
        <w:trPr>
          <w:trHeight w:val="300"/>
          <w:tblHeader/>
          <w:jc w:val="center"/>
        </w:trPr>
        <w:tc>
          <w:tcPr>
            <w:tcW w:w="820" w:type="dxa"/>
            <w:tcBorders>
              <w:top w:val="single" w:sz="4" w:space="0" w:color="C9C9C9"/>
              <w:left w:val="single" w:sz="4" w:space="0" w:color="C9C9C9"/>
              <w:bottom w:val="single" w:sz="4" w:space="0" w:color="C9C9C9"/>
              <w:right w:val="single" w:sz="4" w:space="0" w:color="C9C9C9"/>
            </w:tcBorders>
            <w:shd w:val="clear" w:color="EDEDED" w:fill="EDEDED"/>
            <w:noWrap/>
            <w:vAlign w:val="bottom"/>
          </w:tcPr>
          <w:p w:rsidR="006536A5" w:rsidRPr="00793FF1" w:rsidRDefault="006536A5" w:rsidP="00BD793E">
            <w:pPr>
              <w:spacing w:after="0" w:line="240" w:lineRule="auto"/>
              <w:jc w:val="center"/>
              <w:rPr>
                <w:rFonts w:ascii="Arial Narrow" w:eastAsia="Times New Roman" w:hAnsi="Arial Narrow" w:cs="Arial"/>
                <w:bCs/>
                <w:i/>
              </w:rPr>
            </w:pPr>
            <w:r w:rsidRPr="00793FF1">
              <w:rPr>
                <w:rFonts w:ascii="Arial Narrow" w:eastAsia="Times New Roman" w:hAnsi="Arial Narrow" w:cs="Arial"/>
                <w:bCs/>
                <w:i/>
              </w:rPr>
              <w:t>1</w:t>
            </w:r>
          </w:p>
        </w:tc>
        <w:tc>
          <w:tcPr>
            <w:tcW w:w="4142" w:type="dxa"/>
            <w:tcBorders>
              <w:top w:val="single" w:sz="4" w:space="0" w:color="C9C9C9"/>
              <w:left w:val="single" w:sz="4" w:space="0" w:color="C9C9C9"/>
              <w:bottom w:val="single" w:sz="4" w:space="0" w:color="C9C9C9"/>
              <w:right w:val="single" w:sz="4" w:space="0" w:color="C9C9C9"/>
            </w:tcBorders>
            <w:shd w:val="clear" w:color="EDEDED" w:fill="EDEDED"/>
            <w:noWrap/>
            <w:vAlign w:val="bottom"/>
          </w:tcPr>
          <w:p w:rsidR="006536A5" w:rsidRPr="00793FF1" w:rsidRDefault="006536A5" w:rsidP="00BD793E">
            <w:pPr>
              <w:spacing w:after="0" w:line="240" w:lineRule="auto"/>
              <w:jc w:val="center"/>
              <w:rPr>
                <w:rFonts w:ascii="Arial Narrow" w:eastAsia="Times New Roman" w:hAnsi="Arial Narrow" w:cs="Arial"/>
                <w:bCs/>
                <w:i/>
              </w:rPr>
            </w:pPr>
            <w:r w:rsidRPr="00793FF1">
              <w:rPr>
                <w:rFonts w:ascii="Arial Narrow" w:eastAsia="Times New Roman" w:hAnsi="Arial Narrow" w:cs="Arial"/>
                <w:bCs/>
                <w:i/>
              </w:rPr>
              <w:t>2</w:t>
            </w:r>
          </w:p>
        </w:tc>
        <w:tc>
          <w:tcPr>
            <w:tcW w:w="2126" w:type="dxa"/>
            <w:tcBorders>
              <w:top w:val="single" w:sz="4" w:space="0" w:color="C9C9C9"/>
              <w:left w:val="single" w:sz="4" w:space="0" w:color="C9C9C9"/>
              <w:bottom w:val="single" w:sz="4" w:space="0" w:color="C9C9C9"/>
              <w:right w:val="single" w:sz="4" w:space="0" w:color="C9C9C9"/>
            </w:tcBorders>
            <w:shd w:val="clear" w:color="EDEDED" w:fill="EDEDED"/>
            <w:noWrap/>
            <w:vAlign w:val="bottom"/>
          </w:tcPr>
          <w:p w:rsidR="006536A5" w:rsidRPr="00793FF1" w:rsidRDefault="006536A5" w:rsidP="00BD793E">
            <w:pPr>
              <w:spacing w:after="0" w:line="240" w:lineRule="auto"/>
              <w:jc w:val="center"/>
              <w:rPr>
                <w:rFonts w:ascii="Arial Narrow" w:eastAsia="Times New Roman" w:hAnsi="Arial Narrow" w:cs="Arial"/>
                <w:bCs/>
                <w:i/>
              </w:rPr>
            </w:pPr>
            <w:r w:rsidRPr="00793FF1">
              <w:rPr>
                <w:rFonts w:ascii="Arial Narrow" w:eastAsia="Times New Roman" w:hAnsi="Arial Narrow" w:cs="Arial"/>
                <w:bCs/>
                <w:i/>
              </w:rPr>
              <w:t>3</w:t>
            </w:r>
          </w:p>
        </w:tc>
      </w:tr>
      <w:tr w:rsidR="00793FF1" w:rsidRPr="00793FF1" w:rsidTr="00BD793E">
        <w:trPr>
          <w:trHeight w:val="300"/>
          <w:jc w:val="center"/>
        </w:trPr>
        <w:tc>
          <w:tcPr>
            <w:tcW w:w="820"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b/>
                <w:bCs/>
              </w:rPr>
            </w:pPr>
            <w:r w:rsidRPr="00793FF1">
              <w:rPr>
                <w:rFonts w:ascii="Arial Narrow" w:eastAsia="Times New Roman" w:hAnsi="Arial Narrow" w:cs="Arial"/>
                <w:b/>
                <w:bCs/>
              </w:rPr>
              <w:t>3</w:t>
            </w:r>
          </w:p>
        </w:tc>
        <w:tc>
          <w:tcPr>
            <w:tcW w:w="4142"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b/>
                <w:bCs/>
              </w:rPr>
            </w:pPr>
            <w:r w:rsidRPr="00793FF1">
              <w:rPr>
                <w:rFonts w:ascii="Arial Narrow" w:eastAsia="Times New Roman" w:hAnsi="Arial Narrow" w:cs="Arial"/>
                <w:b/>
                <w:bCs/>
              </w:rPr>
              <w:t>PEMBIAYAAN</w:t>
            </w:r>
          </w:p>
        </w:tc>
        <w:tc>
          <w:tcPr>
            <w:tcW w:w="212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right"/>
              <w:rPr>
                <w:rFonts w:ascii="Arial Narrow" w:eastAsia="Times New Roman" w:hAnsi="Arial Narrow" w:cs="Arial"/>
                <w:b/>
                <w:bCs/>
              </w:rPr>
            </w:pPr>
            <w:r w:rsidRPr="00793FF1">
              <w:rPr>
                <w:rFonts w:ascii="Arial Narrow" w:eastAsia="Times New Roman" w:hAnsi="Arial Narrow" w:cs="Arial"/>
                <w:b/>
                <w:bCs/>
              </w:rPr>
              <w:t>73,366,395,572.64</w:t>
            </w:r>
          </w:p>
        </w:tc>
      </w:tr>
      <w:tr w:rsidR="00793FF1" w:rsidRPr="00793FF1" w:rsidTr="00BD793E">
        <w:trPr>
          <w:trHeight w:val="285"/>
          <w:jc w:val="center"/>
        </w:trPr>
        <w:tc>
          <w:tcPr>
            <w:tcW w:w="820"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3.1</w:t>
            </w:r>
          </w:p>
        </w:tc>
        <w:tc>
          <w:tcPr>
            <w:tcW w:w="4142"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Penerimaan Pembiayaan</w:t>
            </w:r>
          </w:p>
        </w:tc>
        <w:tc>
          <w:tcPr>
            <w:tcW w:w="2126" w:type="dxa"/>
            <w:tcBorders>
              <w:top w:val="single" w:sz="4" w:space="0" w:color="C9C9C9"/>
              <w:left w:val="single" w:sz="4" w:space="0" w:color="C9C9C9"/>
              <w:bottom w:val="single" w:sz="4" w:space="0" w:color="C9C9C9"/>
              <w:right w:val="single" w:sz="4" w:space="0" w:color="C9C9C9"/>
            </w:tcBorders>
            <w:shd w:val="clear" w:color="EDEDED" w:fill="EDEDED"/>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73,366,395,572.64</w:t>
            </w:r>
          </w:p>
        </w:tc>
      </w:tr>
      <w:tr w:rsidR="00793FF1" w:rsidRPr="00793FF1" w:rsidTr="00BD793E">
        <w:trPr>
          <w:trHeight w:val="570"/>
          <w:jc w:val="center"/>
        </w:trPr>
        <w:tc>
          <w:tcPr>
            <w:tcW w:w="820"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center"/>
              <w:rPr>
                <w:rFonts w:ascii="Arial Narrow" w:eastAsia="Times New Roman" w:hAnsi="Arial Narrow" w:cs="Arial"/>
              </w:rPr>
            </w:pPr>
            <w:r w:rsidRPr="00793FF1">
              <w:rPr>
                <w:rFonts w:ascii="Arial Narrow" w:eastAsia="Times New Roman" w:hAnsi="Arial Narrow" w:cs="Arial"/>
              </w:rPr>
              <w:t>3.2</w:t>
            </w:r>
          </w:p>
        </w:tc>
        <w:tc>
          <w:tcPr>
            <w:tcW w:w="4142"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rPr>
                <w:rFonts w:ascii="Arial Narrow" w:eastAsia="Times New Roman" w:hAnsi="Arial Narrow" w:cs="Arial"/>
              </w:rPr>
            </w:pPr>
            <w:r w:rsidRPr="00793FF1">
              <w:rPr>
                <w:rFonts w:ascii="Arial Narrow" w:eastAsia="Times New Roman" w:hAnsi="Arial Narrow" w:cs="Arial"/>
              </w:rPr>
              <w:t>Pengeluaran Pembiayaan</w:t>
            </w:r>
          </w:p>
        </w:tc>
        <w:tc>
          <w:tcPr>
            <w:tcW w:w="2126" w:type="dxa"/>
            <w:tcBorders>
              <w:top w:val="single" w:sz="4" w:space="0" w:color="C9C9C9"/>
              <w:left w:val="single" w:sz="4" w:space="0" w:color="C9C9C9"/>
              <w:bottom w:val="single" w:sz="4" w:space="0" w:color="C9C9C9"/>
              <w:right w:val="single" w:sz="4" w:space="0" w:color="C9C9C9"/>
            </w:tcBorders>
            <w:shd w:val="clear" w:color="DBDBDB" w:fill="DBDBDB"/>
            <w:vAlign w:val="center"/>
            <w:hideMark/>
          </w:tcPr>
          <w:p w:rsidR="006536A5" w:rsidRPr="00793FF1" w:rsidRDefault="006536A5" w:rsidP="00BD793E">
            <w:pPr>
              <w:spacing w:after="0" w:line="240" w:lineRule="auto"/>
              <w:jc w:val="right"/>
              <w:rPr>
                <w:rFonts w:ascii="Arial Narrow" w:eastAsia="Times New Roman" w:hAnsi="Arial Narrow" w:cs="Arial"/>
              </w:rPr>
            </w:pPr>
            <w:r w:rsidRPr="00793FF1">
              <w:rPr>
                <w:rFonts w:ascii="Arial Narrow" w:eastAsia="Times New Roman" w:hAnsi="Arial Narrow" w:cs="Arial"/>
              </w:rPr>
              <w:t xml:space="preserve">                                                    -   </w:t>
            </w:r>
          </w:p>
        </w:tc>
      </w:tr>
    </w:tbl>
    <w:p w:rsidR="006536A5" w:rsidRPr="00793FF1" w:rsidRDefault="006536A5" w:rsidP="006536A5">
      <w:pPr>
        <w:spacing w:before="120" w:after="120" w:line="360" w:lineRule="auto"/>
        <w:rPr>
          <w:rFonts w:ascii="Arial" w:hAnsi="Arial" w:cs="Arial"/>
          <w:i/>
          <w:sz w:val="16"/>
          <w:szCs w:val="16"/>
        </w:rPr>
      </w:pPr>
      <w:r w:rsidRPr="00793FF1">
        <w:rPr>
          <w:rFonts w:ascii="Arial" w:hAnsi="Arial" w:cs="Arial"/>
          <w:sz w:val="24"/>
          <w:szCs w:val="24"/>
        </w:rPr>
        <w:t xml:space="preserve">        </w:t>
      </w:r>
      <w:proofErr w:type="gramStart"/>
      <w:r w:rsidRPr="00793FF1">
        <w:rPr>
          <w:rFonts w:ascii="Arial" w:hAnsi="Arial" w:cs="Arial"/>
          <w:i/>
          <w:sz w:val="16"/>
          <w:szCs w:val="16"/>
        </w:rPr>
        <w:t>Sumber :</w:t>
      </w:r>
      <w:proofErr w:type="gramEnd"/>
      <w:r w:rsidRPr="00793FF1">
        <w:rPr>
          <w:rFonts w:ascii="Arial" w:hAnsi="Arial" w:cs="Arial"/>
          <w:i/>
          <w:sz w:val="16"/>
          <w:szCs w:val="16"/>
        </w:rPr>
        <w:t xml:space="preserve"> BPKPAD Kab.Kepulauan Selayar.</w:t>
      </w:r>
    </w:p>
    <w:p w:rsidR="006536A5" w:rsidRPr="00793FF1" w:rsidRDefault="006536A5" w:rsidP="006536A5">
      <w:pPr>
        <w:spacing w:after="0" w:line="360" w:lineRule="auto"/>
        <w:ind w:firstLine="851"/>
        <w:jc w:val="both"/>
        <w:rPr>
          <w:rFonts w:ascii="Arial" w:hAnsi="Arial" w:cs="Arial"/>
          <w:sz w:val="24"/>
          <w:szCs w:val="24"/>
          <w:lang w:val="en-ID"/>
        </w:rPr>
      </w:pPr>
      <w:r w:rsidRPr="00793FF1">
        <w:rPr>
          <w:rFonts w:ascii="Arial" w:hAnsi="Arial" w:cs="Arial"/>
          <w:sz w:val="24"/>
          <w:szCs w:val="24"/>
          <w:lang w:val="en-ID"/>
        </w:rPr>
        <w:t>Selengkapnya struktur Pembiayaan Daerah pada RPJMD tahun 2021 dan Target Perubahan Pembiayaan Daerah tahun 2021 dapat dilihat pada Tabel berikut:</w:t>
      </w:r>
    </w:p>
    <w:p w:rsidR="00CF2BA0" w:rsidRPr="00793FF1" w:rsidRDefault="00CF2BA0" w:rsidP="006536A5">
      <w:pPr>
        <w:spacing w:after="0" w:line="360" w:lineRule="auto"/>
        <w:ind w:firstLine="851"/>
        <w:jc w:val="both"/>
        <w:rPr>
          <w:rFonts w:ascii="Arial" w:hAnsi="Arial" w:cs="Arial"/>
          <w:sz w:val="24"/>
          <w:szCs w:val="24"/>
          <w:lang w:val="en-ID"/>
        </w:rPr>
      </w:pPr>
    </w:p>
    <w:p w:rsidR="00CF2BA0" w:rsidRPr="00793FF1" w:rsidRDefault="00CF2BA0" w:rsidP="006536A5">
      <w:pPr>
        <w:spacing w:after="0" w:line="360" w:lineRule="auto"/>
        <w:ind w:firstLine="851"/>
        <w:jc w:val="both"/>
        <w:rPr>
          <w:rFonts w:ascii="Arial" w:hAnsi="Arial" w:cs="Arial"/>
          <w:sz w:val="24"/>
          <w:szCs w:val="24"/>
          <w:lang w:val="en-ID"/>
        </w:rPr>
      </w:pPr>
    </w:p>
    <w:p w:rsidR="00CF2BA0" w:rsidRPr="00793FF1" w:rsidRDefault="00CF2BA0" w:rsidP="006536A5">
      <w:pPr>
        <w:spacing w:after="0" w:line="360" w:lineRule="auto"/>
        <w:ind w:firstLine="851"/>
        <w:jc w:val="both"/>
        <w:rPr>
          <w:rFonts w:ascii="Arial" w:hAnsi="Arial" w:cs="Arial"/>
          <w:sz w:val="24"/>
          <w:szCs w:val="24"/>
          <w:lang w:val="en-ID"/>
        </w:rPr>
      </w:pPr>
    </w:p>
    <w:p w:rsidR="00CF2BA0" w:rsidRPr="00793FF1" w:rsidRDefault="00CF2BA0" w:rsidP="006536A5">
      <w:pPr>
        <w:spacing w:after="0" w:line="360" w:lineRule="auto"/>
        <w:ind w:firstLine="851"/>
        <w:jc w:val="both"/>
        <w:rPr>
          <w:rFonts w:ascii="Arial" w:hAnsi="Arial" w:cs="Arial"/>
          <w:sz w:val="24"/>
          <w:szCs w:val="24"/>
          <w:lang w:val="en-ID"/>
        </w:rPr>
      </w:pP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lastRenderedPageBreak/>
        <w:t>Tabel 3.9</w:t>
      </w:r>
    </w:p>
    <w:p w:rsidR="006536A5" w:rsidRPr="00793FF1" w:rsidRDefault="006536A5" w:rsidP="006536A5">
      <w:pPr>
        <w:tabs>
          <w:tab w:val="left" w:pos="851"/>
        </w:tabs>
        <w:spacing w:after="0" w:line="240" w:lineRule="auto"/>
        <w:jc w:val="center"/>
        <w:rPr>
          <w:rFonts w:ascii="Arial" w:hAnsi="Arial" w:cs="Arial"/>
          <w:b/>
        </w:rPr>
      </w:pPr>
      <w:r w:rsidRPr="00793FF1">
        <w:rPr>
          <w:rFonts w:ascii="Arial" w:hAnsi="Arial" w:cs="Arial"/>
          <w:b/>
        </w:rPr>
        <w:t>Target Perubahan Pembiayaan Daerah Kabupaten Kepulauan Selayar</w:t>
      </w:r>
    </w:p>
    <w:p w:rsidR="006536A5" w:rsidRPr="00793FF1" w:rsidRDefault="006536A5" w:rsidP="006536A5">
      <w:pPr>
        <w:spacing w:after="0" w:line="360" w:lineRule="auto"/>
        <w:jc w:val="center"/>
        <w:rPr>
          <w:rFonts w:ascii="Arial" w:hAnsi="Arial" w:cs="Arial"/>
          <w:b/>
        </w:rPr>
      </w:pPr>
      <w:r w:rsidRPr="00793FF1">
        <w:rPr>
          <w:rFonts w:ascii="Arial" w:hAnsi="Arial" w:cs="Arial"/>
          <w:b/>
        </w:rPr>
        <w:t>Tahun Anggaran 2021</w:t>
      </w:r>
    </w:p>
    <w:tbl>
      <w:tblPr>
        <w:tblW w:w="8538" w:type="dxa"/>
        <w:jc w:val="center"/>
        <w:tblLayout w:type="fixed"/>
        <w:tblLook w:val="04A0" w:firstRow="1" w:lastRow="0" w:firstColumn="1" w:lastColumn="0" w:noHBand="0" w:noVBand="1"/>
      </w:tblPr>
      <w:tblGrid>
        <w:gridCol w:w="709"/>
        <w:gridCol w:w="1985"/>
        <w:gridCol w:w="1592"/>
        <w:gridCol w:w="1701"/>
        <w:gridCol w:w="1701"/>
        <w:gridCol w:w="850"/>
      </w:tblGrid>
      <w:tr w:rsidR="00793FF1" w:rsidRPr="00793FF1" w:rsidTr="00BD793E">
        <w:trPr>
          <w:trHeight w:val="330"/>
          <w:tblHeader/>
          <w:jc w:val="center"/>
        </w:trPr>
        <w:tc>
          <w:tcPr>
            <w:tcW w:w="709"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No.</w:t>
            </w:r>
          </w:p>
        </w:tc>
        <w:tc>
          <w:tcPr>
            <w:tcW w:w="1985"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Uraian</w:t>
            </w:r>
          </w:p>
        </w:tc>
        <w:tc>
          <w:tcPr>
            <w:tcW w:w="1592"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Target RKPD Pokok Tahun 2021</w:t>
            </w:r>
          </w:p>
        </w:tc>
        <w:tc>
          <w:tcPr>
            <w:tcW w:w="1701"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Target Perubahan RKPD Tahun 2021</w:t>
            </w:r>
          </w:p>
        </w:tc>
        <w:tc>
          <w:tcPr>
            <w:tcW w:w="1701"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Bertambah/Ber</w:t>
            </w:r>
          </w:p>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kurang</w:t>
            </w:r>
          </w:p>
        </w:tc>
        <w:tc>
          <w:tcPr>
            <w:tcW w:w="850"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w:t>
            </w:r>
          </w:p>
        </w:tc>
      </w:tr>
      <w:tr w:rsidR="00793FF1" w:rsidRPr="00793FF1" w:rsidTr="00BD793E">
        <w:trPr>
          <w:trHeight w:val="330"/>
          <w:tblHeader/>
          <w:jc w:val="center"/>
        </w:trPr>
        <w:tc>
          <w:tcPr>
            <w:tcW w:w="70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i/>
                <w:iCs/>
                <w:sz w:val="20"/>
                <w:szCs w:val="20"/>
              </w:rPr>
            </w:pPr>
            <w:r w:rsidRPr="00793FF1">
              <w:rPr>
                <w:rFonts w:ascii="Arial Narrow" w:eastAsia="Times New Roman" w:hAnsi="Arial Narrow" w:cs="Calibri"/>
                <w:i/>
                <w:iCs/>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i/>
                <w:iCs/>
                <w:sz w:val="20"/>
                <w:szCs w:val="20"/>
              </w:rPr>
            </w:pPr>
            <w:r w:rsidRPr="00793FF1">
              <w:rPr>
                <w:rFonts w:ascii="Arial Narrow" w:eastAsia="Times New Roman" w:hAnsi="Arial Narrow" w:cs="Calibri"/>
                <w:i/>
                <w:iCs/>
                <w:sz w:val="20"/>
                <w:szCs w:val="20"/>
              </w:rPr>
              <w:t>2</w:t>
            </w:r>
          </w:p>
        </w:tc>
        <w:tc>
          <w:tcPr>
            <w:tcW w:w="1592"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i/>
                <w:iCs/>
                <w:sz w:val="20"/>
                <w:szCs w:val="20"/>
              </w:rPr>
            </w:pPr>
            <w:r w:rsidRPr="00793FF1">
              <w:rPr>
                <w:rFonts w:ascii="Arial Narrow" w:eastAsia="Times New Roman" w:hAnsi="Arial Narrow" w:cs="Calibri"/>
                <w:i/>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i/>
                <w:iCs/>
                <w:sz w:val="20"/>
                <w:szCs w:val="20"/>
              </w:rPr>
            </w:pPr>
            <w:r w:rsidRPr="00793FF1">
              <w:rPr>
                <w:rFonts w:ascii="Arial Narrow" w:eastAsia="Times New Roman" w:hAnsi="Arial Narrow" w:cs="Calibri"/>
                <w:i/>
                <w:iCs/>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i/>
                <w:iCs/>
                <w:sz w:val="20"/>
                <w:szCs w:val="20"/>
              </w:rPr>
            </w:pPr>
            <w:r w:rsidRPr="00793FF1">
              <w:rPr>
                <w:rFonts w:ascii="Arial Narrow" w:eastAsia="Times New Roman" w:hAnsi="Arial Narrow" w:cs="Calibri"/>
                <w:i/>
                <w:iCs/>
                <w:sz w:val="20"/>
                <w:szCs w:val="20"/>
              </w:rPr>
              <w:t>5 = (4 - 3)</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i/>
                <w:iCs/>
                <w:sz w:val="20"/>
                <w:szCs w:val="20"/>
              </w:rPr>
            </w:pPr>
            <w:r w:rsidRPr="00793FF1">
              <w:rPr>
                <w:rFonts w:ascii="Arial Narrow" w:eastAsia="Times New Roman" w:hAnsi="Arial Narrow" w:cs="Calibri"/>
                <w:i/>
                <w:iCs/>
                <w:sz w:val="20"/>
                <w:szCs w:val="20"/>
              </w:rPr>
              <w:t>6</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000000" w:fill="B4C6E7"/>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6</w:t>
            </w:r>
          </w:p>
        </w:tc>
        <w:tc>
          <w:tcPr>
            <w:tcW w:w="1985" w:type="dxa"/>
            <w:tcBorders>
              <w:top w:val="nil"/>
              <w:left w:val="nil"/>
              <w:bottom w:val="single" w:sz="4" w:space="0" w:color="auto"/>
              <w:right w:val="single" w:sz="4" w:space="0" w:color="auto"/>
            </w:tcBorders>
            <w:shd w:val="clear" w:color="000000" w:fill="B4C6E7"/>
            <w:vAlign w:val="center"/>
            <w:hideMark/>
          </w:tcPr>
          <w:p w:rsidR="006536A5" w:rsidRPr="00793FF1" w:rsidRDefault="006536A5" w:rsidP="00BD793E">
            <w:pPr>
              <w:spacing w:after="0" w:line="240" w:lineRule="auto"/>
              <w:rPr>
                <w:rFonts w:ascii="Arial Narrow" w:eastAsia="Times New Roman" w:hAnsi="Arial Narrow" w:cs="Calibri"/>
                <w:b/>
                <w:bCs/>
                <w:sz w:val="20"/>
                <w:szCs w:val="20"/>
              </w:rPr>
            </w:pPr>
            <w:r w:rsidRPr="00793FF1">
              <w:rPr>
                <w:rFonts w:ascii="Arial Narrow" w:eastAsia="Times New Roman" w:hAnsi="Arial Narrow" w:cs="Calibri"/>
                <w:b/>
                <w:bCs/>
                <w:sz w:val="20"/>
                <w:szCs w:val="20"/>
              </w:rPr>
              <w:t>PEMBIAYAAN DAERAH</w:t>
            </w:r>
          </w:p>
        </w:tc>
        <w:tc>
          <w:tcPr>
            <w:tcW w:w="1592" w:type="dxa"/>
            <w:tcBorders>
              <w:top w:val="nil"/>
              <w:left w:val="nil"/>
              <w:bottom w:val="single" w:sz="4" w:space="0" w:color="auto"/>
              <w:right w:val="single" w:sz="4" w:space="0" w:color="auto"/>
            </w:tcBorders>
            <w:shd w:val="clear" w:color="000000" w:fill="B4C6E7"/>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w:t>
            </w:r>
          </w:p>
        </w:tc>
        <w:tc>
          <w:tcPr>
            <w:tcW w:w="1701" w:type="dxa"/>
            <w:tcBorders>
              <w:top w:val="nil"/>
              <w:left w:val="nil"/>
              <w:bottom w:val="single" w:sz="4" w:space="0" w:color="auto"/>
              <w:right w:val="single" w:sz="4" w:space="0" w:color="auto"/>
            </w:tcBorders>
            <w:shd w:val="clear" w:color="000000" w:fill="B4C6E7"/>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w:t>
            </w:r>
          </w:p>
        </w:tc>
        <w:tc>
          <w:tcPr>
            <w:tcW w:w="1701" w:type="dxa"/>
            <w:tcBorders>
              <w:top w:val="nil"/>
              <w:left w:val="nil"/>
              <w:bottom w:val="single" w:sz="4" w:space="0" w:color="auto"/>
              <w:right w:val="single" w:sz="4" w:space="0" w:color="auto"/>
            </w:tcBorders>
            <w:shd w:val="clear" w:color="000000" w:fill="B4C6E7"/>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000000" w:fill="B4C6E7"/>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6.1</w:t>
            </w:r>
          </w:p>
        </w:tc>
        <w:tc>
          <w:tcPr>
            <w:tcW w:w="1985"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rPr>
                <w:rFonts w:ascii="Arial Narrow" w:eastAsia="Times New Roman" w:hAnsi="Arial Narrow" w:cs="Calibri"/>
                <w:b/>
                <w:bCs/>
                <w:sz w:val="20"/>
                <w:szCs w:val="20"/>
              </w:rPr>
            </w:pPr>
            <w:r w:rsidRPr="00793FF1">
              <w:rPr>
                <w:rFonts w:ascii="Arial Narrow" w:eastAsia="Times New Roman" w:hAnsi="Arial Narrow" w:cs="Calibri"/>
                <w:b/>
                <w:bCs/>
                <w:sz w:val="20"/>
                <w:szCs w:val="20"/>
              </w:rPr>
              <w:t>Penerimaan Pembiayaan</w:t>
            </w:r>
          </w:p>
        </w:tc>
        <w:tc>
          <w:tcPr>
            <w:tcW w:w="1592"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21,044,884,733 </w:t>
            </w:r>
          </w:p>
        </w:tc>
        <w:tc>
          <w:tcPr>
            <w:tcW w:w="1701"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67,488,955,992 </w:t>
            </w:r>
          </w:p>
        </w:tc>
        <w:tc>
          <w:tcPr>
            <w:tcW w:w="1701"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46,444,071,259 </w:t>
            </w:r>
          </w:p>
        </w:tc>
        <w:tc>
          <w:tcPr>
            <w:tcW w:w="850"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220.69 </w:t>
            </w:r>
          </w:p>
        </w:tc>
      </w:tr>
      <w:tr w:rsidR="00793FF1" w:rsidRPr="00793FF1" w:rsidTr="00BD793E">
        <w:trPr>
          <w:trHeight w:val="990"/>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6.1.1</w:t>
            </w:r>
          </w:p>
        </w:tc>
        <w:tc>
          <w:tcPr>
            <w:tcW w:w="1985"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Sisa Lebih Perhitungan Anggaran Tahun Sebelumnya (SiLPA)</w:t>
            </w:r>
          </w:p>
        </w:tc>
        <w:tc>
          <w:tcPr>
            <w:tcW w:w="1592"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21,044,884,733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67,488,955,992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46,444,071,259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220.69 </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6.1.2</w:t>
            </w:r>
          </w:p>
        </w:tc>
        <w:tc>
          <w:tcPr>
            <w:tcW w:w="1985"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Pencairan Dana Cadangan</w:t>
            </w:r>
          </w:p>
        </w:tc>
        <w:tc>
          <w:tcPr>
            <w:tcW w:w="1592"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660"/>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6.1.3</w:t>
            </w:r>
          </w:p>
        </w:tc>
        <w:tc>
          <w:tcPr>
            <w:tcW w:w="1985"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Hasil Penjualan Kekayaan Daerah Yang Dipisahkan</w:t>
            </w:r>
          </w:p>
        </w:tc>
        <w:tc>
          <w:tcPr>
            <w:tcW w:w="1592"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390"/>
          <w:jc w:val="center"/>
        </w:trPr>
        <w:tc>
          <w:tcPr>
            <w:tcW w:w="70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6.1.4</w:t>
            </w:r>
          </w:p>
        </w:tc>
        <w:tc>
          <w:tcPr>
            <w:tcW w:w="1985"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Penerimaan Pinjaman Daerah</w:t>
            </w:r>
          </w:p>
        </w:tc>
        <w:tc>
          <w:tcPr>
            <w:tcW w:w="1592"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660"/>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6.1.5</w:t>
            </w:r>
          </w:p>
        </w:tc>
        <w:tc>
          <w:tcPr>
            <w:tcW w:w="1985"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Penerimaan Kembali Pemberian Pinjaman Daerah</w:t>
            </w:r>
          </w:p>
        </w:tc>
        <w:tc>
          <w:tcPr>
            <w:tcW w:w="1592"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nil"/>
              <w:left w:val="nil"/>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1320"/>
          <w:jc w:val="center"/>
        </w:trPr>
        <w:tc>
          <w:tcPr>
            <w:tcW w:w="70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6.1.6</w:t>
            </w:r>
          </w:p>
        </w:tc>
        <w:tc>
          <w:tcPr>
            <w:tcW w:w="1985"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Penerimaan Pembiayaan Lainnya Sesuai Dengan Ketentuan Peraturan Perundang-undangan</w:t>
            </w:r>
          </w:p>
        </w:tc>
        <w:tc>
          <w:tcPr>
            <w:tcW w:w="1592"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6.2</w:t>
            </w:r>
          </w:p>
        </w:tc>
        <w:tc>
          <w:tcPr>
            <w:tcW w:w="1985"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rPr>
                <w:rFonts w:ascii="Arial Narrow" w:eastAsia="Times New Roman" w:hAnsi="Arial Narrow" w:cs="Calibri"/>
                <w:b/>
                <w:bCs/>
                <w:sz w:val="20"/>
                <w:szCs w:val="20"/>
              </w:rPr>
            </w:pPr>
            <w:r w:rsidRPr="00793FF1">
              <w:rPr>
                <w:rFonts w:ascii="Arial Narrow" w:eastAsia="Times New Roman" w:hAnsi="Arial Narrow" w:cs="Calibri"/>
                <w:b/>
                <w:bCs/>
                <w:sz w:val="20"/>
                <w:szCs w:val="20"/>
              </w:rPr>
              <w:t>Pengeluaran Pembiayaan</w:t>
            </w:r>
          </w:p>
        </w:tc>
        <w:tc>
          <w:tcPr>
            <w:tcW w:w="1592"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2,000,000,000 </w:t>
            </w:r>
          </w:p>
        </w:tc>
        <w:tc>
          <w:tcPr>
            <w:tcW w:w="1701"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2,000,000,000 </w:t>
            </w:r>
          </w:p>
        </w:tc>
        <w:tc>
          <w:tcPr>
            <w:tcW w:w="1701" w:type="dxa"/>
            <w:tcBorders>
              <w:top w:val="nil"/>
              <w:left w:val="nil"/>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 xml:space="preserve"> - </w:t>
            </w:r>
          </w:p>
        </w:tc>
      </w:tr>
      <w:tr w:rsidR="00793FF1" w:rsidRPr="00793FF1" w:rsidTr="00BD793E">
        <w:trPr>
          <w:trHeight w:val="660"/>
          <w:jc w:val="center"/>
        </w:trPr>
        <w:tc>
          <w:tcPr>
            <w:tcW w:w="70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6.2.1</w:t>
            </w:r>
          </w:p>
        </w:tc>
        <w:tc>
          <w:tcPr>
            <w:tcW w:w="1985"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Pembayaran Cicilan Pokok Utang Yang Jatuh Tempo</w:t>
            </w:r>
          </w:p>
        </w:tc>
        <w:tc>
          <w:tcPr>
            <w:tcW w:w="1592"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330"/>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6.2.2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Penyertaan Modal Daerah</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2,000,000,000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2,000,000,000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435"/>
          <w:jc w:val="center"/>
        </w:trPr>
        <w:tc>
          <w:tcPr>
            <w:tcW w:w="70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3.2.3</w:t>
            </w:r>
          </w:p>
        </w:tc>
        <w:tc>
          <w:tcPr>
            <w:tcW w:w="1985"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Pembentukan Dana Cadangan</w:t>
            </w:r>
          </w:p>
        </w:tc>
        <w:tc>
          <w:tcPr>
            <w:tcW w:w="1592"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660"/>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6.2.4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Pemberian Pinjaman Daerah; dan/atau</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1320"/>
          <w:jc w:val="center"/>
        </w:trPr>
        <w:tc>
          <w:tcPr>
            <w:tcW w:w="709"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center"/>
              <w:rPr>
                <w:rFonts w:ascii="Arial Narrow" w:eastAsia="Times New Roman" w:hAnsi="Arial Narrow" w:cs="Calibri"/>
                <w:sz w:val="20"/>
                <w:szCs w:val="20"/>
              </w:rPr>
            </w:pPr>
            <w:r w:rsidRPr="00793FF1">
              <w:rPr>
                <w:rFonts w:ascii="Arial Narrow" w:eastAsia="Times New Roman" w:hAnsi="Arial Narrow" w:cs="Calibri"/>
                <w:sz w:val="20"/>
                <w:szCs w:val="20"/>
              </w:rPr>
              <w:t>6.2.5</w:t>
            </w:r>
          </w:p>
        </w:tc>
        <w:tc>
          <w:tcPr>
            <w:tcW w:w="1985"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rPr>
                <w:rFonts w:ascii="Arial Narrow" w:eastAsia="Times New Roman" w:hAnsi="Arial Narrow" w:cs="Calibri"/>
                <w:sz w:val="20"/>
                <w:szCs w:val="20"/>
              </w:rPr>
            </w:pPr>
            <w:r w:rsidRPr="00793FF1">
              <w:rPr>
                <w:rFonts w:ascii="Arial Narrow" w:eastAsia="Times New Roman" w:hAnsi="Arial Narrow" w:cs="Calibri"/>
                <w:sz w:val="20"/>
                <w:szCs w:val="20"/>
              </w:rPr>
              <w:t>Pengeluaran Pembiayaan Lainnya Sesuai Dengan Ketentuan Peraturan Perundang-undangan</w:t>
            </w:r>
          </w:p>
        </w:tc>
        <w:tc>
          <w:tcPr>
            <w:tcW w:w="1592"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c>
          <w:tcPr>
            <w:tcW w:w="850" w:type="dxa"/>
            <w:tcBorders>
              <w:top w:val="single" w:sz="4" w:space="0" w:color="auto"/>
              <w:left w:val="single" w:sz="4" w:space="0" w:color="auto"/>
              <w:bottom w:val="single" w:sz="4" w:space="0" w:color="auto"/>
              <w:right w:val="single" w:sz="4" w:space="0" w:color="auto"/>
            </w:tcBorders>
            <w:shd w:val="clear" w:color="FCE4D6" w:fill="FCE4D6"/>
            <w:vAlign w:val="center"/>
            <w:hideMark/>
          </w:tcPr>
          <w:p w:rsidR="006536A5" w:rsidRPr="00793FF1" w:rsidRDefault="006536A5" w:rsidP="00BD793E">
            <w:pPr>
              <w:spacing w:after="0" w:line="240" w:lineRule="auto"/>
              <w:jc w:val="right"/>
              <w:rPr>
                <w:rFonts w:ascii="Arial Narrow" w:eastAsia="Times New Roman" w:hAnsi="Arial Narrow" w:cs="Calibri"/>
                <w:sz w:val="20"/>
                <w:szCs w:val="20"/>
              </w:rPr>
            </w:pPr>
            <w:r w:rsidRPr="00793FF1">
              <w:rPr>
                <w:rFonts w:ascii="Arial Narrow" w:eastAsia="Times New Roman" w:hAnsi="Arial Narrow" w:cs="Calibri"/>
                <w:sz w:val="20"/>
                <w:szCs w:val="20"/>
              </w:rPr>
              <w:t xml:space="preserve"> - </w:t>
            </w:r>
          </w:p>
        </w:tc>
      </w:tr>
      <w:tr w:rsidR="00793FF1" w:rsidRPr="00793FF1" w:rsidTr="00BD793E">
        <w:trPr>
          <w:trHeight w:val="293"/>
          <w:jc w:val="center"/>
        </w:trPr>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536A5" w:rsidRPr="00793FF1" w:rsidRDefault="006536A5" w:rsidP="00BD793E">
            <w:pPr>
              <w:spacing w:after="0" w:line="240" w:lineRule="auto"/>
              <w:rPr>
                <w:rFonts w:ascii="Arial Narrow" w:eastAsia="Times New Roman" w:hAnsi="Arial Narrow" w:cs="Calibri"/>
                <w:b/>
                <w:bCs/>
                <w:sz w:val="20"/>
                <w:szCs w:val="20"/>
              </w:rPr>
            </w:pPr>
          </w:p>
          <w:p w:rsidR="006536A5" w:rsidRPr="00793FF1" w:rsidRDefault="006536A5" w:rsidP="00BD793E">
            <w:pPr>
              <w:spacing w:after="0" w:line="240" w:lineRule="auto"/>
              <w:jc w:val="center"/>
              <w:rPr>
                <w:rFonts w:ascii="Arial Narrow" w:eastAsia="Times New Roman" w:hAnsi="Arial Narrow" w:cs="Calibri"/>
                <w:b/>
                <w:bCs/>
                <w:sz w:val="20"/>
                <w:szCs w:val="20"/>
              </w:rPr>
            </w:pPr>
            <w:r w:rsidRPr="00793FF1">
              <w:rPr>
                <w:rFonts w:ascii="Arial Narrow" w:eastAsia="Times New Roman" w:hAnsi="Arial Narrow" w:cs="Calibri"/>
                <w:b/>
                <w:bCs/>
                <w:sz w:val="20"/>
                <w:szCs w:val="20"/>
              </w:rPr>
              <w:t>Pembiayaan Netto</w:t>
            </w:r>
          </w:p>
        </w:tc>
        <w:tc>
          <w:tcPr>
            <w:tcW w:w="15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36A5" w:rsidRPr="00793FF1" w:rsidRDefault="006536A5" w:rsidP="00BD793E">
            <w:pPr>
              <w:spacing w:after="0" w:line="240" w:lineRule="auto"/>
              <w:rPr>
                <w:rFonts w:ascii="Arial Narrow" w:eastAsia="Times New Roman" w:hAnsi="Arial Narrow" w:cs="Calibri"/>
                <w:b/>
                <w:bCs/>
                <w:sz w:val="20"/>
                <w:szCs w:val="20"/>
              </w:rPr>
            </w:pPr>
            <w:r w:rsidRPr="00793FF1">
              <w:rPr>
                <w:rFonts w:ascii="Arial Narrow" w:eastAsia="Times New Roman" w:hAnsi="Arial Narrow" w:cs="Calibri"/>
                <w:b/>
                <w:bCs/>
                <w:sz w:val="20"/>
                <w:szCs w:val="20"/>
              </w:rPr>
              <w:t>19,044,884,733.00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65,488,955,992.07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46,444,071,259.07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36A5" w:rsidRPr="00793FF1" w:rsidRDefault="006536A5" w:rsidP="00BD793E">
            <w:pPr>
              <w:spacing w:after="0" w:line="240" w:lineRule="auto"/>
              <w:jc w:val="right"/>
              <w:rPr>
                <w:rFonts w:ascii="Arial Narrow" w:eastAsia="Times New Roman" w:hAnsi="Arial Narrow" w:cs="Calibri"/>
                <w:b/>
                <w:bCs/>
                <w:sz w:val="20"/>
                <w:szCs w:val="20"/>
              </w:rPr>
            </w:pPr>
            <w:r w:rsidRPr="00793FF1">
              <w:rPr>
                <w:rFonts w:ascii="Arial Narrow" w:eastAsia="Times New Roman" w:hAnsi="Arial Narrow" w:cs="Calibri"/>
                <w:b/>
                <w:bCs/>
                <w:sz w:val="20"/>
                <w:szCs w:val="20"/>
              </w:rPr>
              <w:t>243.87</w:t>
            </w:r>
          </w:p>
        </w:tc>
      </w:tr>
    </w:tbl>
    <w:p w:rsidR="006536A5" w:rsidRPr="00793FF1" w:rsidRDefault="006536A5" w:rsidP="006536A5">
      <w:pPr>
        <w:spacing w:before="120" w:after="120" w:line="360" w:lineRule="auto"/>
        <w:rPr>
          <w:rFonts w:ascii="Arial" w:hAnsi="Arial" w:cs="Arial"/>
          <w:sz w:val="24"/>
          <w:szCs w:val="24"/>
          <w:lang w:val="en-ID"/>
        </w:rPr>
      </w:pPr>
      <w:proofErr w:type="gramStart"/>
      <w:r w:rsidRPr="00793FF1">
        <w:rPr>
          <w:rFonts w:ascii="Arial" w:hAnsi="Arial" w:cs="Arial"/>
          <w:i/>
          <w:sz w:val="16"/>
          <w:szCs w:val="16"/>
        </w:rPr>
        <w:t>Sumber :</w:t>
      </w:r>
      <w:proofErr w:type="gramEnd"/>
      <w:r w:rsidRPr="00793FF1">
        <w:rPr>
          <w:rFonts w:ascii="Arial" w:hAnsi="Arial" w:cs="Arial"/>
          <w:i/>
          <w:sz w:val="16"/>
          <w:szCs w:val="16"/>
        </w:rPr>
        <w:t xml:space="preserve"> BPKPAD Kab.Kepulauan Selayar, 2021.</w:t>
      </w:r>
    </w:p>
    <w:p w:rsidR="00521A8E" w:rsidRPr="00793FF1" w:rsidRDefault="00521A8E" w:rsidP="00314EC4">
      <w:pPr>
        <w:spacing w:after="120" w:line="360" w:lineRule="auto"/>
        <w:jc w:val="both"/>
        <w:outlineLvl w:val="1"/>
        <w:rPr>
          <w:rFonts w:ascii="Arial" w:hAnsi="Arial" w:cs="Arial"/>
          <w:sz w:val="24"/>
          <w:szCs w:val="24"/>
        </w:rPr>
      </w:pPr>
    </w:p>
    <w:sectPr w:rsidR="00521A8E" w:rsidRPr="00793FF1" w:rsidSect="00314EC4">
      <w:headerReference w:type="even" r:id="rId15"/>
      <w:headerReference w:type="default" r:id="rId16"/>
      <w:footerReference w:type="even" r:id="rId17"/>
      <w:footerReference w:type="default" r:id="rId18"/>
      <w:footerReference w:type="first" r:id="rId19"/>
      <w:pgSz w:w="12191" w:h="18711" w:code="10001"/>
      <w:pgMar w:top="2268" w:right="1701" w:bottom="1701" w:left="2268" w:header="720" w:footer="720" w:gutter="0"/>
      <w:pgNumType w:start="9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275" w:rsidRDefault="002D4275" w:rsidP="006147C1">
      <w:pPr>
        <w:spacing w:after="0" w:line="240" w:lineRule="auto"/>
      </w:pPr>
      <w:r>
        <w:separator/>
      </w:r>
    </w:p>
  </w:endnote>
  <w:endnote w:type="continuationSeparator" w:id="0">
    <w:p w:rsidR="002D4275" w:rsidRDefault="002D4275" w:rsidP="00614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3085911"/>
      <w:docPartObj>
        <w:docPartGallery w:val="Page Numbers (Bottom of Page)"/>
        <w:docPartUnique/>
      </w:docPartObj>
    </w:sdtPr>
    <w:sdtEndPr/>
    <w:sdtContent>
      <w:p w:rsidR="00BD793E" w:rsidRPr="004B360D" w:rsidRDefault="00BD793E" w:rsidP="00637F78">
        <w:pPr>
          <w:pStyle w:val="Footer"/>
        </w:pPr>
        <w:r w:rsidRPr="004B360D">
          <w:t xml:space="preserve">BAB III KERANGKA EKONOMI DAN KEUANGAN DAERAH | </w:t>
        </w:r>
        <w:r w:rsidRPr="004B360D">
          <w:fldChar w:fldCharType="begin"/>
        </w:r>
        <w:r w:rsidRPr="004B360D">
          <w:instrText xml:space="preserve"> PAGE   \* MERGEFORMAT </w:instrText>
        </w:r>
        <w:r w:rsidRPr="004B360D">
          <w:fldChar w:fldCharType="separate"/>
        </w:r>
        <w:r w:rsidR="00AC4F69">
          <w:rPr>
            <w:noProof/>
          </w:rPr>
          <w:t>108</w:t>
        </w:r>
        <w:r w:rsidRPr="004B360D">
          <w:rPr>
            <w:noProof/>
          </w:rPr>
          <w:fldChar w:fldCharType="end"/>
        </w:r>
        <w:r w:rsidRPr="004B360D">
          <w:t xml:space="preserve"> </w:t>
        </w:r>
      </w:p>
    </w:sdtContent>
  </w:sdt>
  <w:p w:rsidR="00BD793E" w:rsidRPr="004B360D" w:rsidRDefault="00BD793E">
    <w:pPr>
      <w:pStyle w:val="Footer"/>
      <w:rPr>
        <w:lang w:val="en-ID"/>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4595989"/>
      <w:docPartObj>
        <w:docPartGallery w:val="Page Numbers (Bottom of Page)"/>
        <w:docPartUnique/>
      </w:docPartObj>
    </w:sdtPr>
    <w:sdtEndPr/>
    <w:sdtContent>
      <w:p w:rsidR="00BD793E" w:rsidRPr="004B360D" w:rsidRDefault="00BD793E">
        <w:pPr>
          <w:pStyle w:val="Footer"/>
          <w:jc w:val="right"/>
        </w:pPr>
        <w:r w:rsidRPr="004B360D">
          <w:t xml:space="preserve">BAB III KERANGKA EKONOMI DAN KEUANGAN DAERAH | </w:t>
        </w:r>
        <w:r w:rsidRPr="004B360D">
          <w:fldChar w:fldCharType="begin"/>
        </w:r>
        <w:r w:rsidRPr="004B360D">
          <w:instrText xml:space="preserve"> PAGE   \* MERGEFORMAT </w:instrText>
        </w:r>
        <w:r w:rsidRPr="004B360D">
          <w:fldChar w:fldCharType="separate"/>
        </w:r>
        <w:r w:rsidR="00AC4F69">
          <w:rPr>
            <w:noProof/>
          </w:rPr>
          <w:t>107</w:t>
        </w:r>
        <w:r w:rsidRPr="004B360D">
          <w:rPr>
            <w:noProof/>
          </w:rPr>
          <w:fldChar w:fldCharType="end"/>
        </w:r>
        <w:r w:rsidRPr="004B360D">
          <w:t xml:space="preserve"> </w:t>
        </w:r>
      </w:p>
    </w:sdtContent>
  </w:sdt>
  <w:p w:rsidR="00BD793E" w:rsidRPr="004B360D" w:rsidRDefault="00BD79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7579326"/>
      <w:docPartObj>
        <w:docPartGallery w:val="Page Numbers (Bottom of Page)"/>
        <w:docPartUnique/>
      </w:docPartObj>
    </w:sdtPr>
    <w:sdtEndPr>
      <w:rPr>
        <w:noProof/>
      </w:rPr>
    </w:sdtEndPr>
    <w:sdtContent>
      <w:p w:rsidR="00BD793E" w:rsidRDefault="00BD793E">
        <w:pPr>
          <w:pStyle w:val="Footer"/>
          <w:jc w:val="right"/>
        </w:pPr>
        <w:r>
          <w:fldChar w:fldCharType="begin"/>
        </w:r>
        <w:r>
          <w:instrText xml:space="preserve"> PAGE   \* MERGEFORMAT </w:instrText>
        </w:r>
        <w:r>
          <w:fldChar w:fldCharType="separate"/>
        </w:r>
        <w:r>
          <w:rPr>
            <w:noProof/>
          </w:rPr>
          <w:t>258</w:t>
        </w:r>
        <w:r>
          <w:rPr>
            <w:noProof/>
          </w:rPr>
          <w:fldChar w:fldCharType="end"/>
        </w:r>
      </w:p>
    </w:sdtContent>
  </w:sdt>
  <w:p w:rsidR="00BD793E" w:rsidRDefault="00BD79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275" w:rsidRDefault="002D4275" w:rsidP="006147C1">
      <w:pPr>
        <w:spacing w:after="0" w:line="240" w:lineRule="auto"/>
      </w:pPr>
      <w:r>
        <w:separator/>
      </w:r>
    </w:p>
  </w:footnote>
  <w:footnote w:type="continuationSeparator" w:id="0">
    <w:p w:rsidR="002D4275" w:rsidRDefault="002D4275" w:rsidP="006147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503438"/>
      <w:docPartObj>
        <w:docPartGallery w:val="Page Numbers (Top of Page)"/>
        <w:docPartUnique/>
      </w:docPartObj>
    </w:sdtPr>
    <w:sdtEndPr>
      <w:rPr>
        <w:noProof/>
      </w:rPr>
    </w:sdtEndPr>
    <w:sdtContent>
      <w:p w:rsidR="00BD793E" w:rsidRPr="004B360D" w:rsidRDefault="00BD793E" w:rsidP="00637F78">
        <w:pPr>
          <w:pStyle w:val="Header"/>
          <w:jc w:val="right"/>
        </w:pPr>
        <w:r w:rsidRPr="004B360D">
          <w:t xml:space="preserve">PERUBAHAN RENCANA KERJA PEMERINTAH DAERAH (P-RKPD) </w:t>
        </w:r>
      </w:p>
      <w:p w:rsidR="00BD793E" w:rsidRPr="004B360D" w:rsidRDefault="00BD793E" w:rsidP="00637F78">
        <w:pPr>
          <w:pStyle w:val="Header"/>
          <w:jc w:val="right"/>
        </w:pPr>
        <w:r w:rsidRPr="004B360D">
          <w:t>KABUPATEN KEPULAUAN SELAYAR TAHUN 2021</w:t>
        </w:r>
      </w:p>
    </w:sdtContent>
  </w:sdt>
  <w:p w:rsidR="00BD793E" w:rsidRPr="004B360D" w:rsidRDefault="00BD79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4852901"/>
      <w:docPartObj>
        <w:docPartGallery w:val="Page Numbers (Top of Page)"/>
        <w:docPartUnique/>
      </w:docPartObj>
    </w:sdtPr>
    <w:sdtEndPr>
      <w:rPr>
        <w:noProof/>
      </w:rPr>
    </w:sdtEndPr>
    <w:sdtContent>
      <w:sdt>
        <w:sdtPr>
          <w:id w:val="-1007446515"/>
          <w:docPartObj>
            <w:docPartGallery w:val="Page Numbers (Top of Page)"/>
            <w:docPartUnique/>
          </w:docPartObj>
        </w:sdtPr>
        <w:sdtEndPr>
          <w:rPr>
            <w:noProof/>
          </w:rPr>
        </w:sdtEndPr>
        <w:sdtContent>
          <w:p w:rsidR="00BD793E" w:rsidRPr="004B360D" w:rsidRDefault="00BD793E" w:rsidP="00637F78">
            <w:pPr>
              <w:pStyle w:val="Header"/>
            </w:pPr>
            <w:r w:rsidRPr="004B360D">
              <w:t xml:space="preserve">PERUBAHAN RENCANA KERJA PEMERINTAH DAERAH (P-RKPD) </w:t>
            </w:r>
          </w:p>
          <w:p w:rsidR="00BD793E" w:rsidRPr="004B360D" w:rsidRDefault="00BD793E" w:rsidP="00637F78">
            <w:pPr>
              <w:pStyle w:val="Header"/>
            </w:pPr>
            <w:r w:rsidRPr="004B360D">
              <w:t>KABUPATEN KEPULAUAN SELAYAR TAHUN 2021</w:t>
            </w:r>
          </w:p>
        </w:sdtContent>
      </w:sdt>
      <w:p w:rsidR="00BD793E" w:rsidRPr="004B360D" w:rsidRDefault="002D4275" w:rsidP="00637F78">
        <w:pPr>
          <w:pStyle w:val="Header"/>
          <w:jc w:val="right"/>
        </w:pPr>
      </w:p>
    </w:sdtContent>
  </w:sdt>
  <w:p w:rsidR="00BD793E" w:rsidRPr="004B360D" w:rsidRDefault="00BD79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B2FE7"/>
    <w:multiLevelType w:val="hybridMultilevel"/>
    <w:tmpl w:val="4C84D7D0"/>
    <w:lvl w:ilvl="0" w:tplc="D4B4B140">
      <w:start w:val="1"/>
      <w:numFmt w:val="decimal"/>
      <w:lvlText w:val="%1."/>
      <w:lvlJc w:val="left"/>
      <w:pPr>
        <w:ind w:left="1353" w:hanging="360"/>
      </w:pPr>
      <w:rPr>
        <w:rFonts w:ascii="Arial" w:eastAsiaTheme="minorHAnsi" w:hAnsi="Arial" w:cs="Arial"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nsid w:val="016708E1"/>
    <w:multiLevelType w:val="hybridMultilevel"/>
    <w:tmpl w:val="BA82ACC0"/>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
    <w:nsid w:val="02854C31"/>
    <w:multiLevelType w:val="hybridMultilevel"/>
    <w:tmpl w:val="7DEAE3E4"/>
    <w:lvl w:ilvl="0" w:tplc="60843F5A">
      <w:start w:val="1"/>
      <w:numFmt w:val="bullet"/>
      <w:lvlText w:val="•"/>
      <w:lvlJc w:val="left"/>
      <w:pPr>
        <w:tabs>
          <w:tab w:val="num" w:pos="720"/>
        </w:tabs>
        <w:ind w:left="720" w:hanging="360"/>
      </w:pPr>
      <w:rPr>
        <w:rFonts w:ascii="Arial" w:hAnsi="Arial" w:hint="default"/>
      </w:rPr>
    </w:lvl>
    <w:lvl w:ilvl="1" w:tplc="C3B0CF98" w:tentative="1">
      <w:start w:val="1"/>
      <w:numFmt w:val="bullet"/>
      <w:lvlText w:val="•"/>
      <w:lvlJc w:val="left"/>
      <w:pPr>
        <w:tabs>
          <w:tab w:val="num" w:pos="1440"/>
        </w:tabs>
        <w:ind w:left="1440" w:hanging="360"/>
      </w:pPr>
      <w:rPr>
        <w:rFonts w:ascii="Arial" w:hAnsi="Arial" w:hint="default"/>
      </w:rPr>
    </w:lvl>
    <w:lvl w:ilvl="2" w:tplc="B86EDFFC" w:tentative="1">
      <w:start w:val="1"/>
      <w:numFmt w:val="bullet"/>
      <w:lvlText w:val="•"/>
      <w:lvlJc w:val="left"/>
      <w:pPr>
        <w:tabs>
          <w:tab w:val="num" w:pos="2160"/>
        </w:tabs>
        <w:ind w:left="2160" w:hanging="360"/>
      </w:pPr>
      <w:rPr>
        <w:rFonts w:ascii="Arial" w:hAnsi="Arial" w:hint="default"/>
      </w:rPr>
    </w:lvl>
    <w:lvl w:ilvl="3" w:tplc="4A7AB5FE" w:tentative="1">
      <w:start w:val="1"/>
      <w:numFmt w:val="bullet"/>
      <w:lvlText w:val="•"/>
      <w:lvlJc w:val="left"/>
      <w:pPr>
        <w:tabs>
          <w:tab w:val="num" w:pos="2880"/>
        </w:tabs>
        <w:ind w:left="2880" w:hanging="360"/>
      </w:pPr>
      <w:rPr>
        <w:rFonts w:ascii="Arial" w:hAnsi="Arial" w:hint="default"/>
      </w:rPr>
    </w:lvl>
    <w:lvl w:ilvl="4" w:tplc="89982A68" w:tentative="1">
      <w:start w:val="1"/>
      <w:numFmt w:val="bullet"/>
      <w:lvlText w:val="•"/>
      <w:lvlJc w:val="left"/>
      <w:pPr>
        <w:tabs>
          <w:tab w:val="num" w:pos="3600"/>
        </w:tabs>
        <w:ind w:left="3600" w:hanging="360"/>
      </w:pPr>
      <w:rPr>
        <w:rFonts w:ascii="Arial" w:hAnsi="Arial" w:hint="default"/>
      </w:rPr>
    </w:lvl>
    <w:lvl w:ilvl="5" w:tplc="34BC70D6" w:tentative="1">
      <w:start w:val="1"/>
      <w:numFmt w:val="bullet"/>
      <w:lvlText w:val="•"/>
      <w:lvlJc w:val="left"/>
      <w:pPr>
        <w:tabs>
          <w:tab w:val="num" w:pos="4320"/>
        </w:tabs>
        <w:ind w:left="4320" w:hanging="360"/>
      </w:pPr>
      <w:rPr>
        <w:rFonts w:ascii="Arial" w:hAnsi="Arial" w:hint="default"/>
      </w:rPr>
    </w:lvl>
    <w:lvl w:ilvl="6" w:tplc="50B6D97A" w:tentative="1">
      <w:start w:val="1"/>
      <w:numFmt w:val="bullet"/>
      <w:lvlText w:val="•"/>
      <w:lvlJc w:val="left"/>
      <w:pPr>
        <w:tabs>
          <w:tab w:val="num" w:pos="5040"/>
        </w:tabs>
        <w:ind w:left="5040" w:hanging="360"/>
      </w:pPr>
      <w:rPr>
        <w:rFonts w:ascii="Arial" w:hAnsi="Arial" w:hint="default"/>
      </w:rPr>
    </w:lvl>
    <w:lvl w:ilvl="7" w:tplc="B764E6AC" w:tentative="1">
      <w:start w:val="1"/>
      <w:numFmt w:val="bullet"/>
      <w:lvlText w:val="•"/>
      <w:lvlJc w:val="left"/>
      <w:pPr>
        <w:tabs>
          <w:tab w:val="num" w:pos="5760"/>
        </w:tabs>
        <w:ind w:left="5760" w:hanging="360"/>
      </w:pPr>
      <w:rPr>
        <w:rFonts w:ascii="Arial" w:hAnsi="Arial" w:hint="default"/>
      </w:rPr>
    </w:lvl>
    <w:lvl w:ilvl="8" w:tplc="1996EE1E" w:tentative="1">
      <w:start w:val="1"/>
      <w:numFmt w:val="bullet"/>
      <w:lvlText w:val="•"/>
      <w:lvlJc w:val="left"/>
      <w:pPr>
        <w:tabs>
          <w:tab w:val="num" w:pos="6480"/>
        </w:tabs>
        <w:ind w:left="6480" w:hanging="360"/>
      </w:pPr>
      <w:rPr>
        <w:rFonts w:ascii="Arial" w:hAnsi="Arial" w:hint="default"/>
      </w:rPr>
    </w:lvl>
  </w:abstractNum>
  <w:abstractNum w:abstractNumId="3">
    <w:nsid w:val="03882839"/>
    <w:multiLevelType w:val="hybridMultilevel"/>
    <w:tmpl w:val="8660B5F4"/>
    <w:lvl w:ilvl="0" w:tplc="18D879A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nsid w:val="04E91AA7"/>
    <w:multiLevelType w:val="hybridMultilevel"/>
    <w:tmpl w:val="80CC9EE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
    <w:nsid w:val="05E70DC8"/>
    <w:multiLevelType w:val="hybridMultilevel"/>
    <w:tmpl w:val="3544F356"/>
    <w:lvl w:ilvl="0" w:tplc="04090019">
      <w:start w:val="1"/>
      <w:numFmt w:val="lowerLetter"/>
      <w:lvlText w:val="%1."/>
      <w:lvlJc w:val="left"/>
      <w:pPr>
        <w:ind w:left="1495" w:hanging="360"/>
      </w:pPr>
      <w:rPr>
        <w:rFonts w:hint="default"/>
      </w:rPr>
    </w:lvl>
    <w:lvl w:ilvl="1" w:tplc="5B3C7604">
      <w:start w:val="1"/>
      <w:numFmt w:val="decimal"/>
      <w:lvlText w:val="4.%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6AE69C3"/>
    <w:multiLevelType w:val="hybridMultilevel"/>
    <w:tmpl w:val="66B48F6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
    <w:nsid w:val="0A2011B5"/>
    <w:multiLevelType w:val="hybridMultilevel"/>
    <w:tmpl w:val="38767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212881"/>
    <w:multiLevelType w:val="hybridMultilevel"/>
    <w:tmpl w:val="1B0273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2D1E37"/>
    <w:multiLevelType w:val="hybridMultilevel"/>
    <w:tmpl w:val="982EA00C"/>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
    <w:nsid w:val="12FA4153"/>
    <w:multiLevelType w:val="hybridMultilevel"/>
    <w:tmpl w:val="C5F0FBD4"/>
    <w:lvl w:ilvl="0" w:tplc="34EEFA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1D46F1"/>
    <w:multiLevelType w:val="hybridMultilevel"/>
    <w:tmpl w:val="74A8EDCC"/>
    <w:lvl w:ilvl="0" w:tplc="8206C23E">
      <w:start w:val="1"/>
      <w:numFmt w:val="decimal"/>
      <w:lvlText w:val="3.3.2.%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E54C03"/>
    <w:multiLevelType w:val="hybridMultilevel"/>
    <w:tmpl w:val="8E8043AA"/>
    <w:lvl w:ilvl="0" w:tplc="65000C74">
      <w:start w:val="1"/>
      <w:numFmt w:val="bullet"/>
      <w:lvlText w:val="•"/>
      <w:lvlJc w:val="left"/>
      <w:pPr>
        <w:tabs>
          <w:tab w:val="num" w:pos="720"/>
        </w:tabs>
        <w:ind w:left="720" w:hanging="360"/>
      </w:pPr>
      <w:rPr>
        <w:rFonts w:ascii="Arial" w:hAnsi="Arial" w:hint="default"/>
      </w:rPr>
    </w:lvl>
    <w:lvl w:ilvl="1" w:tplc="266A2030" w:tentative="1">
      <w:start w:val="1"/>
      <w:numFmt w:val="bullet"/>
      <w:lvlText w:val="•"/>
      <w:lvlJc w:val="left"/>
      <w:pPr>
        <w:tabs>
          <w:tab w:val="num" w:pos="1440"/>
        </w:tabs>
        <w:ind w:left="1440" w:hanging="360"/>
      </w:pPr>
      <w:rPr>
        <w:rFonts w:ascii="Arial" w:hAnsi="Arial" w:hint="default"/>
      </w:rPr>
    </w:lvl>
    <w:lvl w:ilvl="2" w:tplc="48CC1B1E" w:tentative="1">
      <w:start w:val="1"/>
      <w:numFmt w:val="bullet"/>
      <w:lvlText w:val="•"/>
      <w:lvlJc w:val="left"/>
      <w:pPr>
        <w:tabs>
          <w:tab w:val="num" w:pos="2160"/>
        </w:tabs>
        <w:ind w:left="2160" w:hanging="360"/>
      </w:pPr>
      <w:rPr>
        <w:rFonts w:ascii="Arial" w:hAnsi="Arial" w:hint="default"/>
      </w:rPr>
    </w:lvl>
    <w:lvl w:ilvl="3" w:tplc="D34CAD16" w:tentative="1">
      <w:start w:val="1"/>
      <w:numFmt w:val="bullet"/>
      <w:lvlText w:val="•"/>
      <w:lvlJc w:val="left"/>
      <w:pPr>
        <w:tabs>
          <w:tab w:val="num" w:pos="2880"/>
        </w:tabs>
        <w:ind w:left="2880" w:hanging="360"/>
      </w:pPr>
      <w:rPr>
        <w:rFonts w:ascii="Arial" w:hAnsi="Arial" w:hint="default"/>
      </w:rPr>
    </w:lvl>
    <w:lvl w:ilvl="4" w:tplc="90989288" w:tentative="1">
      <w:start w:val="1"/>
      <w:numFmt w:val="bullet"/>
      <w:lvlText w:val="•"/>
      <w:lvlJc w:val="left"/>
      <w:pPr>
        <w:tabs>
          <w:tab w:val="num" w:pos="3600"/>
        </w:tabs>
        <w:ind w:left="3600" w:hanging="360"/>
      </w:pPr>
      <w:rPr>
        <w:rFonts w:ascii="Arial" w:hAnsi="Arial" w:hint="default"/>
      </w:rPr>
    </w:lvl>
    <w:lvl w:ilvl="5" w:tplc="19900B1E" w:tentative="1">
      <w:start w:val="1"/>
      <w:numFmt w:val="bullet"/>
      <w:lvlText w:val="•"/>
      <w:lvlJc w:val="left"/>
      <w:pPr>
        <w:tabs>
          <w:tab w:val="num" w:pos="4320"/>
        </w:tabs>
        <w:ind w:left="4320" w:hanging="360"/>
      </w:pPr>
      <w:rPr>
        <w:rFonts w:ascii="Arial" w:hAnsi="Arial" w:hint="default"/>
      </w:rPr>
    </w:lvl>
    <w:lvl w:ilvl="6" w:tplc="BE542BD0" w:tentative="1">
      <w:start w:val="1"/>
      <w:numFmt w:val="bullet"/>
      <w:lvlText w:val="•"/>
      <w:lvlJc w:val="left"/>
      <w:pPr>
        <w:tabs>
          <w:tab w:val="num" w:pos="5040"/>
        </w:tabs>
        <w:ind w:left="5040" w:hanging="360"/>
      </w:pPr>
      <w:rPr>
        <w:rFonts w:ascii="Arial" w:hAnsi="Arial" w:hint="default"/>
      </w:rPr>
    </w:lvl>
    <w:lvl w:ilvl="7" w:tplc="2460EFCA" w:tentative="1">
      <w:start w:val="1"/>
      <w:numFmt w:val="bullet"/>
      <w:lvlText w:val="•"/>
      <w:lvlJc w:val="left"/>
      <w:pPr>
        <w:tabs>
          <w:tab w:val="num" w:pos="5760"/>
        </w:tabs>
        <w:ind w:left="5760" w:hanging="360"/>
      </w:pPr>
      <w:rPr>
        <w:rFonts w:ascii="Arial" w:hAnsi="Arial" w:hint="default"/>
      </w:rPr>
    </w:lvl>
    <w:lvl w:ilvl="8" w:tplc="982658F6" w:tentative="1">
      <w:start w:val="1"/>
      <w:numFmt w:val="bullet"/>
      <w:lvlText w:val="•"/>
      <w:lvlJc w:val="left"/>
      <w:pPr>
        <w:tabs>
          <w:tab w:val="num" w:pos="6480"/>
        </w:tabs>
        <w:ind w:left="6480" w:hanging="360"/>
      </w:pPr>
      <w:rPr>
        <w:rFonts w:ascii="Arial" w:hAnsi="Arial" w:hint="default"/>
      </w:rPr>
    </w:lvl>
  </w:abstractNum>
  <w:abstractNum w:abstractNumId="13">
    <w:nsid w:val="167410FC"/>
    <w:multiLevelType w:val="hybridMultilevel"/>
    <w:tmpl w:val="961ADD0A"/>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4">
    <w:nsid w:val="190A38A6"/>
    <w:multiLevelType w:val="hybridMultilevel"/>
    <w:tmpl w:val="CE6CB3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DC196A"/>
    <w:multiLevelType w:val="hybridMultilevel"/>
    <w:tmpl w:val="5EF67714"/>
    <w:lvl w:ilvl="0" w:tplc="A6A48FF4">
      <w:start w:val="1"/>
      <w:numFmt w:val="bullet"/>
      <w:lvlText w:val="•"/>
      <w:lvlJc w:val="left"/>
      <w:pPr>
        <w:tabs>
          <w:tab w:val="num" w:pos="720"/>
        </w:tabs>
        <w:ind w:left="720" w:hanging="360"/>
      </w:pPr>
      <w:rPr>
        <w:rFonts w:ascii="Arial" w:hAnsi="Arial" w:hint="default"/>
      </w:rPr>
    </w:lvl>
    <w:lvl w:ilvl="1" w:tplc="00260AE6" w:tentative="1">
      <w:start w:val="1"/>
      <w:numFmt w:val="bullet"/>
      <w:lvlText w:val="•"/>
      <w:lvlJc w:val="left"/>
      <w:pPr>
        <w:tabs>
          <w:tab w:val="num" w:pos="1440"/>
        </w:tabs>
        <w:ind w:left="1440" w:hanging="360"/>
      </w:pPr>
      <w:rPr>
        <w:rFonts w:ascii="Arial" w:hAnsi="Arial" w:hint="default"/>
      </w:rPr>
    </w:lvl>
    <w:lvl w:ilvl="2" w:tplc="6ECAC25E" w:tentative="1">
      <w:start w:val="1"/>
      <w:numFmt w:val="bullet"/>
      <w:lvlText w:val="•"/>
      <w:lvlJc w:val="left"/>
      <w:pPr>
        <w:tabs>
          <w:tab w:val="num" w:pos="2160"/>
        </w:tabs>
        <w:ind w:left="2160" w:hanging="360"/>
      </w:pPr>
      <w:rPr>
        <w:rFonts w:ascii="Arial" w:hAnsi="Arial" w:hint="default"/>
      </w:rPr>
    </w:lvl>
    <w:lvl w:ilvl="3" w:tplc="4CE8DF16" w:tentative="1">
      <w:start w:val="1"/>
      <w:numFmt w:val="bullet"/>
      <w:lvlText w:val="•"/>
      <w:lvlJc w:val="left"/>
      <w:pPr>
        <w:tabs>
          <w:tab w:val="num" w:pos="2880"/>
        </w:tabs>
        <w:ind w:left="2880" w:hanging="360"/>
      </w:pPr>
      <w:rPr>
        <w:rFonts w:ascii="Arial" w:hAnsi="Arial" w:hint="default"/>
      </w:rPr>
    </w:lvl>
    <w:lvl w:ilvl="4" w:tplc="12CA30AA" w:tentative="1">
      <w:start w:val="1"/>
      <w:numFmt w:val="bullet"/>
      <w:lvlText w:val="•"/>
      <w:lvlJc w:val="left"/>
      <w:pPr>
        <w:tabs>
          <w:tab w:val="num" w:pos="3600"/>
        </w:tabs>
        <w:ind w:left="3600" w:hanging="360"/>
      </w:pPr>
      <w:rPr>
        <w:rFonts w:ascii="Arial" w:hAnsi="Arial" w:hint="default"/>
      </w:rPr>
    </w:lvl>
    <w:lvl w:ilvl="5" w:tplc="7744F3EC" w:tentative="1">
      <w:start w:val="1"/>
      <w:numFmt w:val="bullet"/>
      <w:lvlText w:val="•"/>
      <w:lvlJc w:val="left"/>
      <w:pPr>
        <w:tabs>
          <w:tab w:val="num" w:pos="4320"/>
        </w:tabs>
        <w:ind w:left="4320" w:hanging="360"/>
      </w:pPr>
      <w:rPr>
        <w:rFonts w:ascii="Arial" w:hAnsi="Arial" w:hint="default"/>
      </w:rPr>
    </w:lvl>
    <w:lvl w:ilvl="6" w:tplc="24181E82" w:tentative="1">
      <w:start w:val="1"/>
      <w:numFmt w:val="bullet"/>
      <w:lvlText w:val="•"/>
      <w:lvlJc w:val="left"/>
      <w:pPr>
        <w:tabs>
          <w:tab w:val="num" w:pos="5040"/>
        </w:tabs>
        <w:ind w:left="5040" w:hanging="360"/>
      </w:pPr>
      <w:rPr>
        <w:rFonts w:ascii="Arial" w:hAnsi="Arial" w:hint="default"/>
      </w:rPr>
    </w:lvl>
    <w:lvl w:ilvl="7" w:tplc="E30AB73C" w:tentative="1">
      <w:start w:val="1"/>
      <w:numFmt w:val="bullet"/>
      <w:lvlText w:val="•"/>
      <w:lvlJc w:val="left"/>
      <w:pPr>
        <w:tabs>
          <w:tab w:val="num" w:pos="5760"/>
        </w:tabs>
        <w:ind w:left="5760" w:hanging="360"/>
      </w:pPr>
      <w:rPr>
        <w:rFonts w:ascii="Arial" w:hAnsi="Arial" w:hint="default"/>
      </w:rPr>
    </w:lvl>
    <w:lvl w:ilvl="8" w:tplc="FBBAC64E" w:tentative="1">
      <w:start w:val="1"/>
      <w:numFmt w:val="bullet"/>
      <w:lvlText w:val="•"/>
      <w:lvlJc w:val="left"/>
      <w:pPr>
        <w:tabs>
          <w:tab w:val="num" w:pos="6480"/>
        </w:tabs>
        <w:ind w:left="6480" w:hanging="360"/>
      </w:pPr>
      <w:rPr>
        <w:rFonts w:ascii="Arial" w:hAnsi="Arial" w:hint="default"/>
      </w:rPr>
    </w:lvl>
  </w:abstractNum>
  <w:abstractNum w:abstractNumId="16">
    <w:nsid w:val="1AE746D5"/>
    <w:multiLevelType w:val="hybridMultilevel"/>
    <w:tmpl w:val="9A52BA16"/>
    <w:lvl w:ilvl="0" w:tplc="D0A857B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AFD162E"/>
    <w:multiLevelType w:val="hybridMultilevel"/>
    <w:tmpl w:val="3544F356"/>
    <w:lvl w:ilvl="0" w:tplc="04090019">
      <w:start w:val="1"/>
      <w:numFmt w:val="lowerLetter"/>
      <w:lvlText w:val="%1."/>
      <w:lvlJc w:val="left"/>
      <w:pPr>
        <w:ind w:left="1495" w:hanging="360"/>
      </w:pPr>
      <w:rPr>
        <w:rFonts w:hint="default"/>
      </w:rPr>
    </w:lvl>
    <w:lvl w:ilvl="1" w:tplc="5B3C7604">
      <w:start w:val="1"/>
      <w:numFmt w:val="decimal"/>
      <w:lvlText w:val="4.%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1405E4"/>
    <w:multiLevelType w:val="hybridMultilevel"/>
    <w:tmpl w:val="CEF2C6EA"/>
    <w:lvl w:ilvl="0" w:tplc="81F2C724">
      <w:start w:val="1"/>
      <w:numFmt w:val="lowerLetter"/>
      <w:lvlText w:val="%1."/>
      <w:lvlJc w:val="left"/>
      <w:pPr>
        <w:ind w:left="1495" w:hanging="360"/>
      </w:pPr>
      <w:rPr>
        <w:rFonts w:ascii="Arial" w:eastAsiaTheme="minorEastAsia" w:hAnsi="Arial" w:cs="Arial"/>
      </w:rPr>
    </w:lvl>
    <w:lvl w:ilvl="1" w:tplc="5B3C7604">
      <w:start w:val="1"/>
      <w:numFmt w:val="decimal"/>
      <w:lvlText w:val="4.%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B8157BF"/>
    <w:multiLevelType w:val="hybridMultilevel"/>
    <w:tmpl w:val="5E16F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E22380A"/>
    <w:multiLevelType w:val="hybridMultilevel"/>
    <w:tmpl w:val="20688CC0"/>
    <w:lvl w:ilvl="0" w:tplc="5B3C7604">
      <w:start w:val="1"/>
      <w:numFmt w:val="decimal"/>
      <w:lvlText w:val="4.%1."/>
      <w:lvlJc w:val="left"/>
      <w:pPr>
        <w:ind w:left="1440" w:hanging="360"/>
      </w:pPr>
      <w:rPr>
        <w:rFonts w:hint="default"/>
      </w:rPr>
    </w:lvl>
    <w:lvl w:ilvl="1" w:tplc="0409000F">
      <w:start w:val="1"/>
      <w:numFmt w:val="decimal"/>
      <w:lvlText w:val="%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E2C2771"/>
    <w:multiLevelType w:val="hybridMultilevel"/>
    <w:tmpl w:val="9BA8144C"/>
    <w:lvl w:ilvl="0" w:tplc="04090019">
      <w:start w:val="1"/>
      <w:numFmt w:val="lowerLetter"/>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22">
    <w:nsid w:val="1EDB5C1D"/>
    <w:multiLevelType w:val="hybridMultilevel"/>
    <w:tmpl w:val="3544F356"/>
    <w:lvl w:ilvl="0" w:tplc="04090019">
      <w:start w:val="1"/>
      <w:numFmt w:val="lowerLetter"/>
      <w:lvlText w:val="%1."/>
      <w:lvlJc w:val="left"/>
      <w:pPr>
        <w:ind w:left="1495" w:hanging="360"/>
      </w:pPr>
      <w:rPr>
        <w:rFonts w:hint="default"/>
      </w:rPr>
    </w:lvl>
    <w:lvl w:ilvl="1" w:tplc="5B3C7604">
      <w:start w:val="1"/>
      <w:numFmt w:val="decimal"/>
      <w:lvlText w:val="4.%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FC320BF"/>
    <w:multiLevelType w:val="hybridMultilevel"/>
    <w:tmpl w:val="60A65466"/>
    <w:lvl w:ilvl="0" w:tplc="7CD437F0">
      <w:start w:val="1"/>
      <w:numFmt w:val="decimal"/>
      <w:lvlText w:val="3.3.3.%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2CD3846"/>
    <w:multiLevelType w:val="hybridMultilevel"/>
    <w:tmpl w:val="76C49A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36F12B4"/>
    <w:multiLevelType w:val="hybridMultilevel"/>
    <w:tmpl w:val="5B90332C"/>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6">
    <w:nsid w:val="29D21B4E"/>
    <w:multiLevelType w:val="hybridMultilevel"/>
    <w:tmpl w:val="87DA5E34"/>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7">
    <w:nsid w:val="2BF769C0"/>
    <w:multiLevelType w:val="hybridMultilevel"/>
    <w:tmpl w:val="9418C1EC"/>
    <w:lvl w:ilvl="0" w:tplc="326A5968">
      <w:start w:val="1"/>
      <w:numFmt w:val="bullet"/>
      <w:lvlText w:val="•"/>
      <w:lvlJc w:val="left"/>
      <w:pPr>
        <w:tabs>
          <w:tab w:val="num" w:pos="720"/>
        </w:tabs>
        <w:ind w:left="720" w:hanging="360"/>
      </w:pPr>
      <w:rPr>
        <w:rFonts w:ascii="Arial" w:hAnsi="Arial" w:hint="default"/>
      </w:rPr>
    </w:lvl>
    <w:lvl w:ilvl="1" w:tplc="469AEC96" w:tentative="1">
      <w:start w:val="1"/>
      <w:numFmt w:val="bullet"/>
      <w:lvlText w:val="•"/>
      <w:lvlJc w:val="left"/>
      <w:pPr>
        <w:tabs>
          <w:tab w:val="num" w:pos="1440"/>
        </w:tabs>
        <w:ind w:left="1440" w:hanging="360"/>
      </w:pPr>
      <w:rPr>
        <w:rFonts w:ascii="Arial" w:hAnsi="Arial" w:hint="default"/>
      </w:rPr>
    </w:lvl>
    <w:lvl w:ilvl="2" w:tplc="F8A2F64E" w:tentative="1">
      <w:start w:val="1"/>
      <w:numFmt w:val="bullet"/>
      <w:lvlText w:val="•"/>
      <w:lvlJc w:val="left"/>
      <w:pPr>
        <w:tabs>
          <w:tab w:val="num" w:pos="2160"/>
        </w:tabs>
        <w:ind w:left="2160" w:hanging="360"/>
      </w:pPr>
      <w:rPr>
        <w:rFonts w:ascii="Arial" w:hAnsi="Arial" w:hint="default"/>
      </w:rPr>
    </w:lvl>
    <w:lvl w:ilvl="3" w:tplc="A10A64C8" w:tentative="1">
      <w:start w:val="1"/>
      <w:numFmt w:val="bullet"/>
      <w:lvlText w:val="•"/>
      <w:lvlJc w:val="left"/>
      <w:pPr>
        <w:tabs>
          <w:tab w:val="num" w:pos="2880"/>
        </w:tabs>
        <w:ind w:left="2880" w:hanging="360"/>
      </w:pPr>
      <w:rPr>
        <w:rFonts w:ascii="Arial" w:hAnsi="Arial" w:hint="default"/>
      </w:rPr>
    </w:lvl>
    <w:lvl w:ilvl="4" w:tplc="AA40C8C4" w:tentative="1">
      <w:start w:val="1"/>
      <w:numFmt w:val="bullet"/>
      <w:lvlText w:val="•"/>
      <w:lvlJc w:val="left"/>
      <w:pPr>
        <w:tabs>
          <w:tab w:val="num" w:pos="3600"/>
        </w:tabs>
        <w:ind w:left="3600" w:hanging="360"/>
      </w:pPr>
      <w:rPr>
        <w:rFonts w:ascii="Arial" w:hAnsi="Arial" w:hint="default"/>
      </w:rPr>
    </w:lvl>
    <w:lvl w:ilvl="5" w:tplc="79E60ED6" w:tentative="1">
      <w:start w:val="1"/>
      <w:numFmt w:val="bullet"/>
      <w:lvlText w:val="•"/>
      <w:lvlJc w:val="left"/>
      <w:pPr>
        <w:tabs>
          <w:tab w:val="num" w:pos="4320"/>
        </w:tabs>
        <w:ind w:left="4320" w:hanging="360"/>
      </w:pPr>
      <w:rPr>
        <w:rFonts w:ascii="Arial" w:hAnsi="Arial" w:hint="default"/>
      </w:rPr>
    </w:lvl>
    <w:lvl w:ilvl="6" w:tplc="8304C044" w:tentative="1">
      <w:start w:val="1"/>
      <w:numFmt w:val="bullet"/>
      <w:lvlText w:val="•"/>
      <w:lvlJc w:val="left"/>
      <w:pPr>
        <w:tabs>
          <w:tab w:val="num" w:pos="5040"/>
        </w:tabs>
        <w:ind w:left="5040" w:hanging="360"/>
      </w:pPr>
      <w:rPr>
        <w:rFonts w:ascii="Arial" w:hAnsi="Arial" w:hint="default"/>
      </w:rPr>
    </w:lvl>
    <w:lvl w:ilvl="7" w:tplc="81A2A402" w:tentative="1">
      <w:start w:val="1"/>
      <w:numFmt w:val="bullet"/>
      <w:lvlText w:val="•"/>
      <w:lvlJc w:val="left"/>
      <w:pPr>
        <w:tabs>
          <w:tab w:val="num" w:pos="5760"/>
        </w:tabs>
        <w:ind w:left="5760" w:hanging="360"/>
      </w:pPr>
      <w:rPr>
        <w:rFonts w:ascii="Arial" w:hAnsi="Arial" w:hint="default"/>
      </w:rPr>
    </w:lvl>
    <w:lvl w:ilvl="8" w:tplc="6F14BB9C" w:tentative="1">
      <w:start w:val="1"/>
      <w:numFmt w:val="bullet"/>
      <w:lvlText w:val="•"/>
      <w:lvlJc w:val="left"/>
      <w:pPr>
        <w:tabs>
          <w:tab w:val="num" w:pos="6480"/>
        </w:tabs>
        <w:ind w:left="6480" w:hanging="360"/>
      </w:pPr>
      <w:rPr>
        <w:rFonts w:ascii="Arial" w:hAnsi="Arial" w:hint="default"/>
      </w:rPr>
    </w:lvl>
  </w:abstractNum>
  <w:abstractNum w:abstractNumId="28">
    <w:nsid w:val="2C2418AF"/>
    <w:multiLevelType w:val="hybridMultilevel"/>
    <w:tmpl w:val="6CE62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DC34D64"/>
    <w:multiLevelType w:val="hybridMultilevel"/>
    <w:tmpl w:val="6D18AE14"/>
    <w:lvl w:ilvl="0" w:tplc="ECFE73AE">
      <w:start w:val="1"/>
      <w:numFmt w:val="decimal"/>
      <w:lvlText w:val="3.%1"/>
      <w:lvlJc w:val="left"/>
      <w:pPr>
        <w:ind w:left="720" w:hanging="360"/>
      </w:pPr>
      <w:rPr>
        <w:rFonts w:ascii="Arial" w:hAnsi="Arial" w:cs="Arial"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E2A3A0C"/>
    <w:multiLevelType w:val="hybridMultilevel"/>
    <w:tmpl w:val="4F9C9842"/>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1">
    <w:nsid w:val="311528C5"/>
    <w:multiLevelType w:val="hybridMultilevel"/>
    <w:tmpl w:val="6AD61250"/>
    <w:lvl w:ilvl="0" w:tplc="0409000F">
      <w:start w:val="1"/>
      <w:numFmt w:val="decimal"/>
      <w:lvlText w:val="%1."/>
      <w:lvlJc w:val="left"/>
      <w:pPr>
        <w:ind w:left="1723" w:hanging="360"/>
      </w:pPr>
      <w:rPr>
        <w:rFonts w:hint="default"/>
        <w:color w:val="1D1B11"/>
      </w:rPr>
    </w:lvl>
    <w:lvl w:ilvl="1" w:tplc="04090019" w:tentative="1">
      <w:start w:val="1"/>
      <w:numFmt w:val="lowerLetter"/>
      <w:lvlText w:val="%2."/>
      <w:lvlJc w:val="left"/>
      <w:pPr>
        <w:ind w:left="2443" w:hanging="360"/>
      </w:pPr>
    </w:lvl>
    <w:lvl w:ilvl="2" w:tplc="0409001B">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32">
    <w:nsid w:val="371736FF"/>
    <w:multiLevelType w:val="hybridMultilevel"/>
    <w:tmpl w:val="05DE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7A45BFA"/>
    <w:multiLevelType w:val="hybridMultilevel"/>
    <w:tmpl w:val="A13C2C7C"/>
    <w:lvl w:ilvl="0" w:tplc="04090019">
      <w:start w:val="1"/>
      <w:numFmt w:val="lowerLetter"/>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34">
    <w:nsid w:val="38277657"/>
    <w:multiLevelType w:val="hybridMultilevel"/>
    <w:tmpl w:val="806088C2"/>
    <w:lvl w:ilvl="0" w:tplc="0E32EE00">
      <w:start w:val="1"/>
      <w:numFmt w:val="bullet"/>
      <w:lvlText w:val="•"/>
      <w:lvlJc w:val="left"/>
      <w:pPr>
        <w:tabs>
          <w:tab w:val="num" w:pos="720"/>
        </w:tabs>
        <w:ind w:left="720" w:hanging="360"/>
      </w:pPr>
      <w:rPr>
        <w:rFonts w:ascii="Arial" w:hAnsi="Arial" w:hint="default"/>
      </w:rPr>
    </w:lvl>
    <w:lvl w:ilvl="1" w:tplc="124A1912" w:tentative="1">
      <w:start w:val="1"/>
      <w:numFmt w:val="bullet"/>
      <w:lvlText w:val="•"/>
      <w:lvlJc w:val="left"/>
      <w:pPr>
        <w:tabs>
          <w:tab w:val="num" w:pos="1440"/>
        </w:tabs>
        <w:ind w:left="1440" w:hanging="360"/>
      </w:pPr>
      <w:rPr>
        <w:rFonts w:ascii="Arial" w:hAnsi="Arial" w:hint="default"/>
      </w:rPr>
    </w:lvl>
    <w:lvl w:ilvl="2" w:tplc="49023F4C" w:tentative="1">
      <w:start w:val="1"/>
      <w:numFmt w:val="bullet"/>
      <w:lvlText w:val="•"/>
      <w:lvlJc w:val="left"/>
      <w:pPr>
        <w:tabs>
          <w:tab w:val="num" w:pos="2160"/>
        </w:tabs>
        <w:ind w:left="2160" w:hanging="360"/>
      </w:pPr>
      <w:rPr>
        <w:rFonts w:ascii="Arial" w:hAnsi="Arial" w:hint="default"/>
      </w:rPr>
    </w:lvl>
    <w:lvl w:ilvl="3" w:tplc="94BC86B8" w:tentative="1">
      <w:start w:val="1"/>
      <w:numFmt w:val="bullet"/>
      <w:lvlText w:val="•"/>
      <w:lvlJc w:val="left"/>
      <w:pPr>
        <w:tabs>
          <w:tab w:val="num" w:pos="2880"/>
        </w:tabs>
        <w:ind w:left="2880" w:hanging="360"/>
      </w:pPr>
      <w:rPr>
        <w:rFonts w:ascii="Arial" w:hAnsi="Arial" w:hint="default"/>
      </w:rPr>
    </w:lvl>
    <w:lvl w:ilvl="4" w:tplc="E13AEB2E" w:tentative="1">
      <w:start w:val="1"/>
      <w:numFmt w:val="bullet"/>
      <w:lvlText w:val="•"/>
      <w:lvlJc w:val="left"/>
      <w:pPr>
        <w:tabs>
          <w:tab w:val="num" w:pos="3600"/>
        </w:tabs>
        <w:ind w:left="3600" w:hanging="360"/>
      </w:pPr>
      <w:rPr>
        <w:rFonts w:ascii="Arial" w:hAnsi="Arial" w:hint="default"/>
      </w:rPr>
    </w:lvl>
    <w:lvl w:ilvl="5" w:tplc="FC3C2810" w:tentative="1">
      <w:start w:val="1"/>
      <w:numFmt w:val="bullet"/>
      <w:lvlText w:val="•"/>
      <w:lvlJc w:val="left"/>
      <w:pPr>
        <w:tabs>
          <w:tab w:val="num" w:pos="4320"/>
        </w:tabs>
        <w:ind w:left="4320" w:hanging="360"/>
      </w:pPr>
      <w:rPr>
        <w:rFonts w:ascii="Arial" w:hAnsi="Arial" w:hint="default"/>
      </w:rPr>
    </w:lvl>
    <w:lvl w:ilvl="6" w:tplc="3768FECE" w:tentative="1">
      <w:start w:val="1"/>
      <w:numFmt w:val="bullet"/>
      <w:lvlText w:val="•"/>
      <w:lvlJc w:val="left"/>
      <w:pPr>
        <w:tabs>
          <w:tab w:val="num" w:pos="5040"/>
        </w:tabs>
        <w:ind w:left="5040" w:hanging="360"/>
      </w:pPr>
      <w:rPr>
        <w:rFonts w:ascii="Arial" w:hAnsi="Arial" w:hint="default"/>
      </w:rPr>
    </w:lvl>
    <w:lvl w:ilvl="7" w:tplc="E0EA0ACC" w:tentative="1">
      <w:start w:val="1"/>
      <w:numFmt w:val="bullet"/>
      <w:lvlText w:val="•"/>
      <w:lvlJc w:val="left"/>
      <w:pPr>
        <w:tabs>
          <w:tab w:val="num" w:pos="5760"/>
        </w:tabs>
        <w:ind w:left="5760" w:hanging="360"/>
      </w:pPr>
      <w:rPr>
        <w:rFonts w:ascii="Arial" w:hAnsi="Arial" w:hint="default"/>
      </w:rPr>
    </w:lvl>
    <w:lvl w:ilvl="8" w:tplc="A5CE7E8E" w:tentative="1">
      <w:start w:val="1"/>
      <w:numFmt w:val="bullet"/>
      <w:lvlText w:val="•"/>
      <w:lvlJc w:val="left"/>
      <w:pPr>
        <w:tabs>
          <w:tab w:val="num" w:pos="6480"/>
        </w:tabs>
        <w:ind w:left="6480" w:hanging="360"/>
      </w:pPr>
      <w:rPr>
        <w:rFonts w:ascii="Arial" w:hAnsi="Arial" w:hint="default"/>
      </w:rPr>
    </w:lvl>
  </w:abstractNum>
  <w:abstractNum w:abstractNumId="35">
    <w:nsid w:val="39472ADF"/>
    <w:multiLevelType w:val="hybridMultilevel"/>
    <w:tmpl w:val="D83C2A12"/>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6">
    <w:nsid w:val="3B1A1463"/>
    <w:multiLevelType w:val="hybridMultilevel"/>
    <w:tmpl w:val="AFEED2BC"/>
    <w:lvl w:ilvl="0" w:tplc="04090019">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7">
    <w:nsid w:val="3E0A4C67"/>
    <w:multiLevelType w:val="hybridMultilevel"/>
    <w:tmpl w:val="2C0AD078"/>
    <w:lvl w:ilvl="0" w:tplc="F5229CBA">
      <w:start w:val="1"/>
      <w:numFmt w:val="decimal"/>
      <w:lvlText w:val="3.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FBB27F9"/>
    <w:multiLevelType w:val="hybridMultilevel"/>
    <w:tmpl w:val="60749D82"/>
    <w:lvl w:ilvl="0" w:tplc="8DAED1BA">
      <w:start w:val="3"/>
      <w:numFmt w:val="decimal"/>
      <w:lvlText w:val="4.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09669CB"/>
    <w:multiLevelType w:val="hybridMultilevel"/>
    <w:tmpl w:val="BC7ECFE8"/>
    <w:lvl w:ilvl="0" w:tplc="B008A49C">
      <w:start w:val="1"/>
      <w:numFmt w:val="bullet"/>
      <w:lvlText w:val="•"/>
      <w:lvlJc w:val="left"/>
      <w:pPr>
        <w:tabs>
          <w:tab w:val="num" w:pos="720"/>
        </w:tabs>
        <w:ind w:left="720" w:hanging="360"/>
      </w:pPr>
      <w:rPr>
        <w:rFonts w:ascii="Arial" w:hAnsi="Arial" w:hint="default"/>
      </w:rPr>
    </w:lvl>
    <w:lvl w:ilvl="1" w:tplc="A4EEEA2C" w:tentative="1">
      <w:start w:val="1"/>
      <w:numFmt w:val="bullet"/>
      <w:lvlText w:val="•"/>
      <w:lvlJc w:val="left"/>
      <w:pPr>
        <w:tabs>
          <w:tab w:val="num" w:pos="1440"/>
        </w:tabs>
        <w:ind w:left="1440" w:hanging="360"/>
      </w:pPr>
      <w:rPr>
        <w:rFonts w:ascii="Arial" w:hAnsi="Arial" w:hint="default"/>
      </w:rPr>
    </w:lvl>
    <w:lvl w:ilvl="2" w:tplc="4754CB28" w:tentative="1">
      <w:start w:val="1"/>
      <w:numFmt w:val="bullet"/>
      <w:lvlText w:val="•"/>
      <w:lvlJc w:val="left"/>
      <w:pPr>
        <w:tabs>
          <w:tab w:val="num" w:pos="2160"/>
        </w:tabs>
        <w:ind w:left="2160" w:hanging="360"/>
      </w:pPr>
      <w:rPr>
        <w:rFonts w:ascii="Arial" w:hAnsi="Arial" w:hint="default"/>
      </w:rPr>
    </w:lvl>
    <w:lvl w:ilvl="3" w:tplc="6D6416D2" w:tentative="1">
      <w:start w:val="1"/>
      <w:numFmt w:val="bullet"/>
      <w:lvlText w:val="•"/>
      <w:lvlJc w:val="left"/>
      <w:pPr>
        <w:tabs>
          <w:tab w:val="num" w:pos="2880"/>
        </w:tabs>
        <w:ind w:left="2880" w:hanging="360"/>
      </w:pPr>
      <w:rPr>
        <w:rFonts w:ascii="Arial" w:hAnsi="Arial" w:hint="default"/>
      </w:rPr>
    </w:lvl>
    <w:lvl w:ilvl="4" w:tplc="CB726EF6" w:tentative="1">
      <w:start w:val="1"/>
      <w:numFmt w:val="bullet"/>
      <w:lvlText w:val="•"/>
      <w:lvlJc w:val="left"/>
      <w:pPr>
        <w:tabs>
          <w:tab w:val="num" w:pos="3600"/>
        </w:tabs>
        <w:ind w:left="3600" w:hanging="360"/>
      </w:pPr>
      <w:rPr>
        <w:rFonts w:ascii="Arial" w:hAnsi="Arial" w:hint="default"/>
      </w:rPr>
    </w:lvl>
    <w:lvl w:ilvl="5" w:tplc="74A0A71C" w:tentative="1">
      <w:start w:val="1"/>
      <w:numFmt w:val="bullet"/>
      <w:lvlText w:val="•"/>
      <w:lvlJc w:val="left"/>
      <w:pPr>
        <w:tabs>
          <w:tab w:val="num" w:pos="4320"/>
        </w:tabs>
        <w:ind w:left="4320" w:hanging="360"/>
      </w:pPr>
      <w:rPr>
        <w:rFonts w:ascii="Arial" w:hAnsi="Arial" w:hint="default"/>
      </w:rPr>
    </w:lvl>
    <w:lvl w:ilvl="6" w:tplc="8FAA146C" w:tentative="1">
      <w:start w:val="1"/>
      <w:numFmt w:val="bullet"/>
      <w:lvlText w:val="•"/>
      <w:lvlJc w:val="left"/>
      <w:pPr>
        <w:tabs>
          <w:tab w:val="num" w:pos="5040"/>
        </w:tabs>
        <w:ind w:left="5040" w:hanging="360"/>
      </w:pPr>
      <w:rPr>
        <w:rFonts w:ascii="Arial" w:hAnsi="Arial" w:hint="default"/>
      </w:rPr>
    </w:lvl>
    <w:lvl w:ilvl="7" w:tplc="B3C0410A" w:tentative="1">
      <w:start w:val="1"/>
      <w:numFmt w:val="bullet"/>
      <w:lvlText w:val="•"/>
      <w:lvlJc w:val="left"/>
      <w:pPr>
        <w:tabs>
          <w:tab w:val="num" w:pos="5760"/>
        </w:tabs>
        <w:ind w:left="5760" w:hanging="360"/>
      </w:pPr>
      <w:rPr>
        <w:rFonts w:ascii="Arial" w:hAnsi="Arial" w:hint="default"/>
      </w:rPr>
    </w:lvl>
    <w:lvl w:ilvl="8" w:tplc="7FC64C24" w:tentative="1">
      <w:start w:val="1"/>
      <w:numFmt w:val="bullet"/>
      <w:lvlText w:val="•"/>
      <w:lvlJc w:val="left"/>
      <w:pPr>
        <w:tabs>
          <w:tab w:val="num" w:pos="6480"/>
        </w:tabs>
        <w:ind w:left="6480" w:hanging="360"/>
      </w:pPr>
      <w:rPr>
        <w:rFonts w:ascii="Arial" w:hAnsi="Arial" w:hint="default"/>
      </w:rPr>
    </w:lvl>
  </w:abstractNum>
  <w:abstractNum w:abstractNumId="40">
    <w:nsid w:val="4A2B1E24"/>
    <w:multiLevelType w:val="hybridMultilevel"/>
    <w:tmpl w:val="11AC639A"/>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1">
    <w:nsid w:val="4AB96899"/>
    <w:multiLevelType w:val="hybridMultilevel"/>
    <w:tmpl w:val="C0B2E944"/>
    <w:lvl w:ilvl="0" w:tplc="BDB42BD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4B792F2F"/>
    <w:multiLevelType w:val="hybridMultilevel"/>
    <w:tmpl w:val="AE6AAE1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3">
    <w:nsid w:val="4BD73C20"/>
    <w:multiLevelType w:val="hybridMultilevel"/>
    <w:tmpl w:val="A7947A9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4">
    <w:nsid w:val="4C31283A"/>
    <w:multiLevelType w:val="hybridMultilevel"/>
    <w:tmpl w:val="29589F44"/>
    <w:lvl w:ilvl="0" w:tplc="77FC8EFC">
      <w:start w:val="1"/>
      <w:numFmt w:val="decimal"/>
      <w:lvlText w:val="3.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D7B2083"/>
    <w:multiLevelType w:val="hybridMultilevel"/>
    <w:tmpl w:val="950C5424"/>
    <w:lvl w:ilvl="0" w:tplc="3FCE1108">
      <w:start w:val="1"/>
      <w:numFmt w:val="decimal"/>
      <w:lvlText w:val="%1."/>
      <w:lvlJc w:val="left"/>
      <w:pPr>
        <w:ind w:left="1353" w:hanging="360"/>
      </w:pPr>
      <w:rPr>
        <w:rFonts w:ascii="Arial" w:eastAsiaTheme="minorHAnsi" w:hAnsi="Arial" w:cs="Arial"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6">
    <w:nsid w:val="4F8277F4"/>
    <w:multiLevelType w:val="hybridMultilevel"/>
    <w:tmpl w:val="36FE3662"/>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7">
    <w:nsid w:val="56832AC9"/>
    <w:multiLevelType w:val="hybridMultilevel"/>
    <w:tmpl w:val="453C6DDE"/>
    <w:lvl w:ilvl="0" w:tplc="0409000F">
      <w:start w:val="1"/>
      <w:numFmt w:val="decimal"/>
      <w:lvlText w:val="%1."/>
      <w:lvlJc w:val="left"/>
      <w:pPr>
        <w:ind w:left="1712" w:hanging="360"/>
      </w:pPr>
    </w:lvl>
    <w:lvl w:ilvl="1" w:tplc="75662A1A">
      <w:start w:val="1"/>
      <w:numFmt w:val="lowerLetter"/>
      <w:lvlText w:val="%2."/>
      <w:lvlJc w:val="left"/>
      <w:pPr>
        <w:ind w:left="2432" w:hanging="360"/>
      </w:pPr>
      <w:rPr>
        <w:rFonts w:hint="default"/>
      </w:r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48">
    <w:nsid w:val="57966928"/>
    <w:multiLevelType w:val="hybridMultilevel"/>
    <w:tmpl w:val="E94801BE"/>
    <w:lvl w:ilvl="0" w:tplc="820C7D98">
      <w:start w:val="1"/>
      <w:numFmt w:val="decimal"/>
      <w:lvlText w:val="4.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82F5C2F"/>
    <w:multiLevelType w:val="hybridMultilevel"/>
    <w:tmpl w:val="A922FC9A"/>
    <w:lvl w:ilvl="0" w:tplc="1362F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AFC4FA0"/>
    <w:multiLevelType w:val="hybridMultilevel"/>
    <w:tmpl w:val="529E083A"/>
    <w:lvl w:ilvl="0" w:tplc="BBCABC40">
      <w:start w:val="1"/>
      <w:numFmt w:val="decimal"/>
      <w:lvlText w:val="3.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BBA32A5"/>
    <w:multiLevelType w:val="hybridMultilevel"/>
    <w:tmpl w:val="298A146E"/>
    <w:lvl w:ilvl="0" w:tplc="38FC96E0">
      <w:start w:val="1"/>
      <w:numFmt w:val="bullet"/>
      <w:lvlText w:val="•"/>
      <w:lvlJc w:val="left"/>
      <w:pPr>
        <w:tabs>
          <w:tab w:val="num" w:pos="720"/>
        </w:tabs>
        <w:ind w:left="720" w:hanging="360"/>
      </w:pPr>
      <w:rPr>
        <w:rFonts w:ascii="Arial" w:hAnsi="Arial" w:hint="default"/>
      </w:rPr>
    </w:lvl>
    <w:lvl w:ilvl="1" w:tplc="A98E5AE6" w:tentative="1">
      <w:start w:val="1"/>
      <w:numFmt w:val="bullet"/>
      <w:lvlText w:val="•"/>
      <w:lvlJc w:val="left"/>
      <w:pPr>
        <w:tabs>
          <w:tab w:val="num" w:pos="1440"/>
        </w:tabs>
        <w:ind w:left="1440" w:hanging="360"/>
      </w:pPr>
      <w:rPr>
        <w:rFonts w:ascii="Arial" w:hAnsi="Arial" w:hint="default"/>
      </w:rPr>
    </w:lvl>
    <w:lvl w:ilvl="2" w:tplc="9BC44D74" w:tentative="1">
      <w:start w:val="1"/>
      <w:numFmt w:val="bullet"/>
      <w:lvlText w:val="•"/>
      <w:lvlJc w:val="left"/>
      <w:pPr>
        <w:tabs>
          <w:tab w:val="num" w:pos="2160"/>
        </w:tabs>
        <w:ind w:left="2160" w:hanging="360"/>
      </w:pPr>
      <w:rPr>
        <w:rFonts w:ascii="Arial" w:hAnsi="Arial" w:hint="default"/>
      </w:rPr>
    </w:lvl>
    <w:lvl w:ilvl="3" w:tplc="E2E62F9A" w:tentative="1">
      <w:start w:val="1"/>
      <w:numFmt w:val="bullet"/>
      <w:lvlText w:val="•"/>
      <w:lvlJc w:val="left"/>
      <w:pPr>
        <w:tabs>
          <w:tab w:val="num" w:pos="2880"/>
        </w:tabs>
        <w:ind w:left="2880" w:hanging="360"/>
      </w:pPr>
      <w:rPr>
        <w:rFonts w:ascii="Arial" w:hAnsi="Arial" w:hint="default"/>
      </w:rPr>
    </w:lvl>
    <w:lvl w:ilvl="4" w:tplc="86F84BC0" w:tentative="1">
      <w:start w:val="1"/>
      <w:numFmt w:val="bullet"/>
      <w:lvlText w:val="•"/>
      <w:lvlJc w:val="left"/>
      <w:pPr>
        <w:tabs>
          <w:tab w:val="num" w:pos="3600"/>
        </w:tabs>
        <w:ind w:left="3600" w:hanging="360"/>
      </w:pPr>
      <w:rPr>
        <w:rFonts w:ascii="Arial" w:hAnsi="Arial" w:hint="default"/>
      </w:rPr>
    </w:lvl>
    <w:lvl w:ilvl="5" w:tplc="64104B7C" w:tentative="1">
      <w:start w:val="1"/>
      <w:numFmt w:val="bullet"/>
      <w:lvlText w:val="•"/>
      <w:lvlJc w:val="left"/>
      <w:pPr>
        <w:tabs>
          <w:tab w:val="num" w:pos="4320"/>
        </w:tabs>
        <w:ind w:left="4320" w:hanging="360"/>
      </w:pPr>
      <w:rPr>
        <w:rFonts w:ascii="Arial" w:hAnsi="Arial" w:hint="default"/>
      </w:rPr>
    </w:lvl>
    <w:lvl w:ilvl="6" w:tplc="3E22F53A" w:tentative="1">
      <w:start w:val="1"/>
      <w:numFmt w:val="bullet"/>
      <w:lvlText w:val="•"/>
      <w:lvlJc w:val="left"/>
      <w:pPr>
        <w:tabs>
          <w:tab w:val="num" w:pos="5040"/>
        </w:tabs>
        <w:ind w:left="5040" w:hanging="360"/>
      </w:pPr>
      <w:rPr>
        <w:rFonts w:ascii="Arial" w:hAnsi="Arial" w:hint="default"/>
      </w:rPr>
    </w:lvl>
    <w:lvl w:ilvl="7" w:tplc="63201912" w:tentative="1">
      <w:start w:val="1"/>
      <w:numFmt w:val="bullet"/>
      <w:lvlText w:val="•"/>
      <w:lvlJc w:val="left"/>
      <w:pPr>
        <w:tabs>
          <w:tab w:val="num" w:pos="5760"/>
        </w:tabs>
        <w:ind w:left="5760" w:hanging="360"/>
      </w:pPr>
      <w:rPr>
        <w:rFonts w:ascii="Arial" w:hAnsi="Arial" w:hint="default"/>
      </w:rPr>
    </w:lvl>
    <w:lvl w:ilvl="8" w:tplc="1DF49DA0" w:tentative="1">
      <w:start w:val="1"/>
      <w:numFmt w:val="bullet"/>
      <w:lvlText w:val="•"/>
      <w:lvlJc w:val="left"/>
      <w:pPr>
        <w:tabs>
          <w:tab w:val="num" w:pos="6480"/>
        </w:tabs>
        <w:ind w:left="6480" w:hanging="360"/>
      </w:pPr>
      <w:rPr>
        <w:rFonts w:ascii="Arial" w:hAnsi="Arial" w:hint="default"/>
      </w:rPr>
    </w:lvl>
  </w:abstractNum>
  <w:abstractNum w:abstractNumId="52">
    <w:nsid w:val="5D6701B0"/>
    <w:multiLevelType w:val="hybridMultilevel"/>
    <w:tmpl w:val="A0463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E106010"/>
    <w:multiLevelType w:val="hybridMultilevel"/>
    <w:tmpl w:val="E21A7C3E"/>
    <w:lvl w:ilvl="0" w:tplc="34EEFA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5E302DE9"/>
    <w:multiLevelType w:val="hybridMultilevel"/>
    <w:tmpl w:val="A92817B0"/>
    <w:lvl w:ilvl="0" w:tplc="00AAEF4A">
      <w:start w:val="1"/>
      <w:numFmt w:val="decimal"/>
      <w:lvlText w:val="3.1.2.%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2BE50B4"/>
    <w:multiLevelType w:val="hybridMultilevel"/>
    <w:tmpl w:val="7E5C05B0"/>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6">
    <w:nsid w:val="63EF0ACB"/>
    <w:multiLevelType w:val="hybridMultilevel"/>
    <w:tmpl w:val="76ECE13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7">
    <w:nsid w:val="646A02A4"/>
    <w:multiLevelType w:val="hybridMultilevel"/>
    <w:tmpl w:val="DF6CE7E8"/>
    <w:lvl w:ilvl="0" w:tplc="04090019">
      <w:start w:val="1"/>
      <w:numFmt w:val="lowerLetter"/>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58">
    <w:nsid w:val="6611689D"/>
    <w:multiLevelType w:val="hybridMultilevel"/>
    <w:tmpl w:val="FE68A3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80F5031"/>
    <w:multiLevelType w:val="hybridMultilevel"/>
    <w:tmpl w:val="C3564B2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86C4B4B"/>
    <w:multiLevelType w:val="hybridMultilevel"/>
    <w:tmpl w:val="9A6EE80E"/>
    <w:lvl w:ilvl="0" w:tplc="F0EEA0EA">
      <w:start w:val="1"/>
      <w:numFmt w:val="bullet"/>
      <w:lvlText w:val="•"/>
      <w:lvlJc w:val="left"/>
      <w:pPr>
        <w:tabs>
          <w:tab w:val="num" w:pos="720"/>
        </w:tabs>
        <w:ind w:left="720" w:hanging="360"/>
      </w:pPr>
      <w:rPr>
        <w:rFonts w:ascii="Arial" w:hAnsi="Arial" w:hint="default"/>
      </w:rPr>
    </w:lvl>
    <w:lvl w:ilvl="1" w:tplc="E26E5BC8" w:tentative="1">
      <w:start w:val="1"/>
      <w:numFmt w:val="bullet"/>
      <w:lvlText w:val="•"/>
      <w:lvlJc w:val="left"/>
      <w:pPr>
        <w:tabs>
          <w:tab w:val="num" w:pos="1440"/>
        </w:tabs>
        <w:ind w:left="1440" w:hanging="360"/>
      </w:pPr>
      <w:rPr>
        <w:rFonts w:ascii="Arial" w:hAnsi="Arial" w:hint="default"/>
      </w:rPr>
    </w:lvl>
    <w:lvl w:ilvl="2" w:tplc="A1001A52" w:tentative="1">
      <w:start w:val="1"/>
      <w:numFmt w:val="bullet"/>
      <w:lvlText w:val="•"/>
      <w:lvlJc w:val="left"/>
      <w:pPr>
        <w:tabs>
          <w:tab w:val="num" w:pos="2160"/>
        </w:tabs>
        <w:ind w:left="2160" w:hanging="360"/>
      </w:pPr>
      <w:rPr>
        <w:rFonts w:ascii="Arial" w:hAnsi="Arial" w:hint="default"/>
      </w:rPr>
    </w:lvl>
    <w:lvl w:ilvl="3" w:tplc="16205202" w:tentative="1">
      <w:start w:val="1"/>
      <w:numFmt w:val="bullet"/>
      <w:lvlText w:val="•"/>
      <w:lvlJc w:val="left"/>
      <w:pPr>
        <w:tabs>
          <w:tab w:val="num" w:pos="2880"/>
        </w:tabs>
        <w:ind w:left="2880" w:hanging="360"/>
      </w:pPr>
      <w:rPr>
        <w:rFonts w:ascii="Arial" w:hAnsi="Arial" w:hint="default"/>
      </w:rPr>
    </w:lvl>
    <w:lvl w:ilvl="4" w:tplc="8DB25CA8" w:tentative="1">
      <w:start w:val="1"/>
      <w:numFmt w:val="bullet"/>
      <w:lvlText w:val="•"/>
      <w:lvlJc w:val="left"/>
      <w:pPr>
        <w:tabs>
          <w:tab w:val="num" w:pos="3600"/>
        </w:tabs>
        <w:ind w:left="3600" w:hanging="360"/>
      </w:pPr>
      <w:rPr>
        <w:rFonts w:ascii="Arial" w:hAnsi="Arial" w:hint="default"/>
      </w:rPr>
    </w:lvl>
    <w:lvl w:ilvl="5" w:tplc="2C4264C6" w:tentative="1">
      <w:start w:val="1"/>
      <w:numFmt w:val="bullet"/>
      <w:lvlText w:val="•"/>
      <w:lvlJc w:val="left"/>
      <w:pPr>
        <w:tabs>
          <w:tab w:val="num" w:pos="4320"/>
        </w:tabs>
        <w:ind w:left="4320" w:hanging="360"/>
      </w:pPr>
      <w:rPr>
        <w:rFonts w:ascii="Arial" w:hAnsi="Arial" w:hint="default"/>
      </w:rPr>
    </w:lvl>
    <w:lvl w:ilvl="6" w:tplc="6DE8CF38" w:tentative="1">
      <w:start w:val="1"/>
      <w:numFmt w:val="bullet"/>
      <w:lvlText w:val="•"/>
      <w:lvlJc w:val="left"/>
      <w:pPr>
        <w:tabs>
          <w:tab w:val="num" w:pos="5040"/>
        </w:tabs>
        <w:ind w:left="5040" w:hanging="360"/>
      </w:pPr>
      <w:rPr>
        <w:rFonts w:ascii="Arial" w:hAnsi="Arial" w:hint="default"/>
      </w:rPr>
    </w:lvl>
    <w:lvl w:ilvl="7" w:tplc="3C8C3D6E" w:tentative="1">
      <w:start w:val="1"/>
      <w:numFmt w:val="bullet"/>
      <w:lvlText w:val="•"/>
      <w:lvlJc w:val="left"/>
      <w:pPr>
        <w:tabs>
          <w:tab w:val="num" w:pos="5760"/>
        </w:tabs>
        <w:ind w:left="5760" w:hanging="360"/>
      </w:pPr>
      <w:rPr>
        <w:rFonts w:ascii="Arial" w:hAnsi="Arial" w:hint="default"/>
      </w:rPr>
    </w:lvl>
    <w:lvl w:ilvl="8" w:tplc="2A52FE9C" w:tentative="1">
      <w:start w:val="1"/>
      <w:numFmt w:val="bullet"/>
      <w:lvlText w:val="•"/>
      <w:lvlJc w:val="left"/>
      <w:pPr>
        <w:tabs>
          <w:tab w:val="num" w:pos="6480"/>
        </w:tabs>
        <w:ind w:left="6480" w:hanging="360"/>
      </w:pPr>
      <w:rPr>
        <w:rFonts w:ascii="Arial" w:hAnsi="Arial" w:hint="default"/>
      </w:rPr>
    </w:lvl>
  </w:abstractNum>
  <w:abstractNum w:abstractNumId="61">
    <w:nsid w:val="6C567BB5"/>
    <w:multiLevelType w:val="hybridMultilevel"/>
    <w:tmpl w:val="A40CDCE6"/>
    <w:lvl w:ilvl="0" w:tplc="EDE27B66">
      <w:start w:val="1"/>
      <w:numFmt w:val="decimal"/>
      <w:lvlText w:val="4.%1."/>
      <w:lvlJc w:val="left"/>
      <w:pPr>
        <w:ind w:left="1440" w:hanging="360"/>
      </w:pPr>
      <w:rPr>
        <w:rFonts w:hint="default"/>
        <w:b/>
      </w:rPr>
    </w:lvl>
    <w:lvl w:ilvl="1" w:tplc="5B3C7604">
      <w:start w:val="1"/>
      <w:numFmt w:val="decimal"/>
      <w:lvlText w:val="4.%2."/>
      <w:lvlJc w:val="left"/>
      <w:pPr>
        <w:ind w:left="1440" w:hanging="360"/>
      </w:pPr>
      <w:rPr>
        <w:rFonts w:hint="default"/>
      </w:rPr>
    </w:lvl>
    <w:lvl w:ilvl="2" w:tplc="0032DA6C">
      <w:start w:val="1"/>
      <w:numFmt w:val="lowerLetter"/>
      <w:lvlText w:val="%3."/>
      <w:lvlJc w:val="left"/>
      <w:pPr>
        <w:ind w:left="2340" w:hanging="360"/>
      </w:pPr>
      <w:rPr>
        <w:rFonts w:hint="default"/>
      </w:rPr>
    </w:lvl>
    <w:lvl w:ilvl="3" w:tplc="69EAB8A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CFB26D0"/>
    <w:multiLevelType w:val="hybridMultilevel"/>
    <w:tmpl w:val="8034CB56"/>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63">
    <w:nsid w:val="706F3472"/>
    <w:multiLevelType w:val="multilevel"/>
    <w:tmpl w:val="C526C44E"/>
    <w:lvl w:ilvl="0">
      <w:start w:val="5"/>
      <w:numFmt w:val="decimal"/>
      <w:lvlText w:val="%1."/>
      <w:lvlJc w:val="left"/>
      <w:pPr>
        <w:ind w:left="400" w:hanging="400"/>
      </w:pPr>
      <w:rPr>
        <w:rFonts w:hint="default"/>
      </w:rPr>
    </w:lvl>
    <w:lvl w:ilvl="1">
      <w:start w:val="1"/>
      <w:numFmt w:val="decimal"/>
      <w:lvlText w:val="4.1.%2."/>
      <w:lvlJc w:val="left"/>
      <w:pPr>
        <w:ind w:left="1146"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64">
    <w:nsid w:val="70B8154D"/>
    <w:multiLevelType w:val="hybridMultilevel"/>
    <w:tmpl w:val="21645A3E"/>
    <w:lvl w:ilvl="0" w:tplc="91749ED0">
      <w:start w:val="1"/>
      <w:numFmt w:val="decimal"/>
      <w:lvlText w:val="3.3.1.%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8B322F"/>
    <w:multiLevelType w:val="hybridMultilevel"/>
    <w:tmpl w:val="1CD8EFE8"/>
    <w:lvl w:ilvl="0" w:tplc="55F6499C">
      <w:start w:val="1"/>
      <w:numFmt w:val="decimal"/>
      <w:lvlText w:val="3.1.1.%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59D5C0C"/>
    <w:multiLevelType w:val="hybridMultilevel"/>
    <w:tmpl w:val="234EC1D4"/>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67">
    <w:nsid w:val="7751427A"/>
    <w:multiLevelType w:val="hybridMultilevel"/>
    <w:tmpl w:val="1B5CDB18"/>
    <w:lvl w:ilvl="0" w:tplc="655C1690">
      <w:start w:val="2"/>
      <w:numFmt w:val="decimal"/>
      <w:lvlText w:val="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8941D35"/>
    <w:multiLevelType w:val="hybridMultilevel"/>
    <w:tmpl w:val="533C7E58"/>
    <w:lvl w:ilvl="0" w:tplc="6EBEDB58">
      <w:start w:val="1"/>
      <w:numFmt w:val="decimal"/>
      <w:lvlText w:val="%1."/>
      <w:lvlJc w:val="left"/>
      <w:pPr>
        <w:ind w:left="720" w:hanging="360"/>
      </w:pPr>
      <w:rPr>
        <w:rFonts w:cs="Candara"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A637FEA"/>
    <w:multiLevelType w:val="hybridMultilevel"/>
    <w:tmpl w:val="ED2EBF3E"/>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0">
    <w:nsid w:val="7FEF484B"/>
    <w:multiLevelType w:val="hybridMultilevel"/>
    <w:tmpl w:val="8E1C4320"/>
    <w:lvl w:ilvl="0" w:tplc="C396026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63"/>
  </w:num>
  <w:num w:numId="2">
    <w:abstractNumId w:val="61"/>
  </w:num>
  <w:num w:numId="3">
    <w:abstractNumId w:val="0"/>
  </w:num>
  <w:num w:numId="4">
    <w:abstractNumId w:val="45"/>
  </w:num>
  <w:num w:numId="5">
    <w:abstractNumId w:val="67"/>
  </w:num>
  <w:num w:numId="6">
    <w:abstractNumId w:val="48"/>
  </w:num>
  <w:num w:numId="7">
    <w:abstractNumId w:val="38"/>
  </w:num>
  <w:num w:numId="8">
    <w:abstractNumId w:val="59"/>
  </w:num>
  <w:num w:numId="9">
    <w:abstractNumId w:val="47"/>
  </w:num>
  <w:num w:numId="10">
    <w:abstractNumId w:val="33"/>
  </w:num>
  <w:num w:numId="11">
    <w:abstractNumId w:val="8"/>
  </w:num>
  <w:num w:numId="12">
    <w:abstractNumId w:val="20"/>
  </w:num>
  <w:num w:numId="13">
    <w:abstractNumId w:val="22"/>
  </w:num>
  <w:num w:numId="14">
    <w:abstractNumId w:val="55"/>
  </w:num>
  <w:num w:numId="15">
    <w:abstractNumId w:val="66"/>
  </w:num>
  <w:num w:numId="16">
    <w:abstractNumId w:val="42"/>
  </w:num>
  <w:num w:numId="17">
    <w:abstractNumId w:val="62"/>
  </w:num>
  <w:num w:numId="18">
    <w:abstractNumId w:val="1"/>
  </w:num>
  <w:num w:numId="19">
    <w:abstractNumId w:val="26"/>
  </w:num>
  <w:num w:numId="20">
    <w:abstractNumId w:val="6"/>
  </w:num>
  <w:num w:numId="21">
    <w:abstractNumId w:val="56"/>
  </w:num>
  <w:num w:numId="22">
    <w:abstractNumId w:val="25"/>
  </w:num>
  <w:num w:numId="23">
    <w:abstractNumId w:val="43"/>
  </w:num>
  <w:num w:numId="24">
    <w:abstractNumId w:val="9"/>
  </w:num>
  <w:num w:numId="25">
    <w:abstractNumId w:val="30"/>
  </w:num>
  <w:num w:numId="26">
    <w:abstractNumId w:val="69"/>
  </w:num>
  <w:num w:numId="27">
    <w:abstractNumId w:val="70"/>
  </w:num>
  <w:num w:numId="28">
    <w:abstractNumId w:val="21"/>
  </w:num>
  <w:num w:numId="29">
    <w:abstractNumId w:val="57"/>
  </w:num>
  <w:num w:numId="30">
    <w:abstractNumId w:val="40"/>
  </w:num>
  <w:num w:numId="31">
    <w:abstractNumId w:val="3"/>
  </w:num>
  <w:num w:numId="32">
    <w:abstractNumId w:val="13"/>
  </w:num>
  <w:num w:numId="33">
    <w:abstractNumId w:val="35"/>
  </w:num>
  <w:num w:numId="34">
    <w:abstractNumId w:val="46"/>
  </w:num>
  <w:num w:numId="35">
    <w:abstractNumId w:val="36"/>
  </w:num>
  <w:num w:numId="36">
    <w:abstractNumId w:val="4"/>
  </w:num>
  <w:num w:numId="37">
    <w:abstractNumId w:val="18"/>
  </w:num>
  <w:num w:numId="38">
    <w:abstractNumId w:val="17"/>
  </w:num>
  <w:num w:numId="39">
    <w:abstractNumId w:val="5"/>
  </w:num>
  <w:num w:numId="40">
    <w:abstractNumId w:val="31"/>
  </w:num>
  <w:num w:numId="41">
    <w:abstractNumId w:val="51"/>
  </w:num>
  <w:num w:numId="42">
    <w:abstractNumId w:val="12"/>
  </w:num>
  <w:num w:numId="43">
    <w:abstractNumId w:val="60"/>
  </w:num>
  <w:num w:numId="44">
    <w:abstractNumId w:val="34"/>
  </w:num>
  <w:num w:numId="45">
    <w:abstractNumId w:val="39"/>
  </w:num>
  <w:num w:numId="46">
    <w:abstractNumId w:val="15"/>
  </w:num>
  <w:num w:numId="47">
    <w:abstractNumId w:val="2"/>
  </w:num>
  <w:num w:numId="48">
    <w:abstractNumId w:val="27"/>
  </w:num>
  <w:num w:numId="49">
    <w:abstractNumId w:val="68"/>
  </w:num>
  <w:num w:numId="50">
    <w:abstractNumId w:val="14"/>
  </w:num>
  <w:num w:numId="51">
    <w:abstractNumId w:val="49"/>
  </w:num>
  <w:num w:numId="52">
    <w:abstractNumId w:val="28"/>
  </w:num>
  <w:num w:numId="53">
    <w:abstractNumId w:val="53"/>
  </w:num>
  <w:num w:numId="54">
    <w:abstractNumId w:val="16"/>
  </w:num>
  <w:num w:numId="55">
    <w:abstractNumId w:val="41"/>
  </w:num>
  <w:num w:numId="56">
    <w:abstractNumId w:val="24"/>
  </w:num>
  <w:num w:numId="57">
    <w:abstractNumId w:val="10"/>
  </w:num>
  <w:num w:numId="58">
    <w:abstractNumId w:val="29"/>
  </w:num>
  <w:num w:numId="59">
    <w:abstractNumId w:val="44"/>
  </w:num>
  <w:num w:numId="60">
    <w:abstractNumId w:val="65"/>
  </w:num>
  <w:num w:numId="61">
    <w:abstractNumId w:val="54"/>
  </w:num>
  <w:num w:numId="62">
    <w:abstractNumId w:val="50"/>
  </w:num>
  <w:num w:numId="63">
    <w:abstractNumId w:val="37"/>
  </w:num>
  <w:num w:numId="64">
    <w:abstractNumId w:val="64"/>
  </w:num>
  <w:num w:numId="65">
    <w:abstractNumId w:val="11"/>
  </w:num>
  <w:num w:numId="66">
    <w:abstractNumId w:val="23"/>
  </w:num>
  <w:num w:numId="67">
    <w:abstractNumId w:val="7"/>
  </w:num>
  <w:num w:numId="68">
    <w:abstractNumId w:val="52"/>
  </w:num>
  <w:num w:numId="69">
    <w:abstractNumId w:val="19"/>
  </w:num>
  <w:num w:numId="70">
    <w:abstractNumId w:val="58"/>
  </w:num>
  <w:num w:numId="71">
    <w:abstractNumId w:val="3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074"/>
    <w:rsid w:val="00000992"/>
    <w:rsid w:val="00001AE5"/>
    <w:rsid w:val="00001C6F"/>
    <w:rsid w:val="000038E3"/>
    <w:rsid w:val="00003F6D"/>
    <w:rsid w:val="000046FD"/>
    <w:rsid w:val="00006E2D"/>
    <w:rsid w:val="0001021D"/>
    <w:rsid w:val="0001047B"/>
    <w:rsid w:val="00011A92"/>
    <w:rsid w:val="00015137"/>
    <w:rsid w:val="000151DF"/>
    <w:rsid w:val="000162F3"/>
    <w:rsid w:val="00017BB2"/>
    <w:rsid w:val="000206D3"/>
    <w:rsid w:val="00020F93"/>
    <w:rsid w:val="000213FC"/>
    <w:rsid w:val="0002141A"/>
    <w:rsid w:val="000215B0"/>
    <w:rsid w:val="0002196A"/>
    <w:rsid w:val="0002203D"/>
    <w:rsid w:val="00022298"/>
    <w:rsid w:val="00022F37"/>
    <w:rsid w:val="000234C7"/>
    <w:rsid w:val="00023765"/>
    <w:rsid w:val="00024062"/>
    <w:rsid w:val="00024D73"/>
    <w:rsid w:val="00025C97"/>
    <w:rsid w:val="00026A5C"/>
    <w:rsid w:val="000276B0"/>
    <w:rsid w:val="00027D14"/>
    <w:rsid w:val="00030EA4"/>
    <w:rsid w:val="000316B3"/>
    <w:rsid w:val="00031A80"/>
    <w:rsid w:val="00035B77"/>
    <w:rsid w:val="00035F03"/>
    <w:rsid w:val="00036668"/>
    <w:rsid w:val="000420E9"/>
    <w:rsid w:val="00042CAD"/>
    <w:rsid w:val="00042D3E"/>
    <w:rsid w:val="00045487"/>
    <w:rsid w:val="00045CD7"/>
    <w:rsid w:val="0004651C"/>
    <w:rsid w:val="00046E13"/>
    <w:rsid w:val="0005316D"/>
    <w:rsid w:val="000544A0"/>
    <w:rsid w:val="00054532"/>
    <w:rsid w:val="00055CAA"/>
    <w:rsid w:val="00057EA6"/>
    <w:rsid w:val="0006277C"/>
    <w:rsid w:val="000636D7"/>
    <w:rsid w:val="00064C91"/>
    <w:rsid w:val="00065A40"/>
    <w:rsid w:val="000665C3"/>
    <w:rsid w:val="00066B0C"/>
    <w:rsid w:val="00066DF9"/>
    <w:rsid w:val="000673EF"/>
    <w:rsid w:val="00067CE1"/>
    <w:rsid w:val="000700E6"/>
    <w:rsid w:val="000712E8"/>
    <w:rsid w:val="0007219A"/>
    <w:rsid w:val="000722D3"/>
    <w:rsid w:val="00072A73"/>
    <w:rsid w:val="00072D02"/>
    <w:rsid w:val="000736CF"/>
    <w:rsid w:val="00075D94"/>
    <w:rsid w:val="00076D95"/>
    <w:rsid w:val="00080D7D"/>
    <w:rsid w:val="000811F1"/>
    <w:rsid w:val="00081F82"/>
    <w:rsid w:val="00082B19"/>
    <w:rsid w:val="00083A07"/>
    <w:rsid w:val="00083A72"/>
    <w:rsid w:val="00085D50"/>
    <w:rsid w:val="00085E9C"/>
    <w:rsid w:val="00087467"/>
    <w:rsid w:val="00087A88"/>
    <w:rsid w:val="000900CD"/>
    <w:rsid w:val="0009279E"/>
    <w:rsid w:val="00092D67"/>
    <w:rsid w:val="000944D1"/>
    <w:rsid w:val="00094739"/>
    <w:rsid w:val="00094BAA"/>
    <w:rsid w:val="00096D27"/>
    <w:rsid w:val="000971F7"/>
    <w:rsid w:val="000A1396"/>
    <w:rsid w:val="000A169A"/>
    <w:rsid w:val="000A2750"/>
    <w:rsid w:val="000A3AB9"/>
    <w:rsid w:val="000A46D9"/>
    <w:rsid w:val="000A4CE1"/>
    <w:rsid w:val="000A5B90"/>
    <w:rsid w:val="000A6683"/>
    <w:rsid w:val="000A76BF"/>
    <w:rsid w:val="000A7964"/>
    <w:rsid w:val="000A7D0D"/>
    <w:rsid w:val="000B1E20"/>
    <w:rsid w:val="000B4A7C"/>
    <w:rsid w:val="000B53C8"/>
    <w:rsid w:val="000B5C42"/>
    <w:rsid w:val="000B6778"/>
    <w:rsid w:val="000B7C3B"/>
    <w:rsid w:val="000C02BF"/>
    <w:rsid w:val="000C2688"/>
    <w:rsid w:val="000C32C2"/>
    <w:rsid w:val="000C524B"/>
    <w:rsid w:val="000C531A"/>
    <w:rsid w:val="000C6503"/>
    <w:rsid w:val="000C7677"/>
    <w:rsid w:val="000C76DB"/>
    <w:rsid w:val="000C7CD9"/>
    <w:rsid w:val="000D22B3"/>
    <w:rsid w:val="000D3E86"/>
    <w:rsid w:val="000D4A28"/>
    <w:rsid w:val="000D4B88"/>
    <w:rsid w:val="000D4C68"/>
    <w:rsid w:val="000D500A"/>
    <w:rsid w:val="000D6F2C"/>
    <w:rsid w:val="000D719A"/>
    <w:rsid w:val="000E065C"/>
    <w:rsid w:val="000E1ED6"/>
    <w:rsid w:val="000E3FF8"/>
    <w:rsid w:val="000E4FC8"/>
    <w:rsid w:val="000E5782"/>
    <w:rsid w:val="000E614F"/>
    <w:rsid w:val="000E6727"/>
    <w:rsid w:val="000F1948"/>
    <w:rsid w:val="000F240E"/>
    <w:rsid w:val="000F3CFC"/>
    <w:rsid w:val="000F3D31"/>
    <w:rsid w:val="000F5A76"/>
    <w:rsid w:val="000F6266"/>
    <w:rsid w:val="00100CCA"/>
    <w:rsid w:val="00103CBA"/>
    <w:rsid w:val="0010415C"/>
    <w:rsid w:val="00105515"/>
    <w:rsid w:val="00105BE3"/>
    <w:rsid w:val="00107A55"/>
    <w:rsid w:val="00111627"/>
    <w:rsid w:val="00112C01"/>
    <w:rsid w:val="00113C4B"/>
    <w:rsid w:val="001141DC"/>
    <w:rsid w:val="00117ED2"/>
    <w:rsid w:val="001206C1"/>
    <w:rsid w:val="00121BC1"/>
    <w:rsid w:val="00122189"/>
    <w:rsid w:val="001244B8"/>
    <w:rsid w:val="00125013"/>
    <w:rsid w:val="00125194"/>
    <w:rsid w:val="0012563C"/>
    <w:rsid w:val="00126AFA"/>
    <w:rsid w:val="00130210"/>
    <w:rsid w:val="001308E9"/>
    <w:rsid w:val="00131388"/>
    <w:rsid w:val="001334DA"/>
    <w:rsid w:val="00133627"/>
    <w:rsid w:val="001338D3"/>
    <w:rsid w:val="00134906"/>
    <w:rsid w:val="00135227"/>
    <w:rsid w:val="0013612F"/>
    <w:rsid w:val="001374A8"/>
    <w:rsid w:val="00137FF8"/>
    <w:rsid w:val="001434C9"/>
    <w:rsid w:val="00143B15"/>
    <w:rsid w:val="00144CCF"/>
    <w:rsid w:val="00144DED"/>
    <w:rsid w:val="00145CB6"/>
    <w:rsid w:val="00150081"/>
    <w:rsid w:val="00150B16"/>
    <w:rsid w:val="00151ED1"/>
    <w:rsid w:val="00153107"/>
    <w:rsid w:val="00153DC9"/>
    <w:rsid w:val="001541D5"/>
    <w:rsid w:val="00154B31"/>
    <w:rsid w:val="00157B1D"/>
    <w:rsid w:val="00160ECA"/>
    <w:rsid w:val="00163DCC"/>
    <w:rsid w:val="00164376"/>
    <w:rsid w:val="00165042"/>
    <w:rsid w:val="00166E89"/>
    <w:rsid w:val="001674E8"/>
    <w:rsid w:val="0017054E"/>
    <w:rsid w:val="00171386"/>
    <w:rsid w:val="001728C6"/>
    <w:rsid w:val="001738AF"/>
    <w:rsid w:val="00174CDD"/>
    <w:rsid w:val="00175550"/>
    <w:rsid w:val="00176353"/>
    <w:rsid w:val="00177C34"/>
    <w:rsid w:val="00180634"/>
    <w:rsid w:val="00180A56"/>
    <w:rsid w:val="0018175A"/>
    <w:rsid w:val="00182274"/>
    <w:rsid w:val="00182C40"/>
    <w:rsid w:val="00183A46"/>
    <w:rsid w:val="001840EE"/>
    <w:rsid w:val="00185183"/>
    <w:rsid w:val="001852F3"/>
    <w:rsid w:val="00187279"/>
    <w:rsid w:val="0018759B"/>
    <w:rsid w:val="001875E1"/>
    <w:rsid w:val="00187D0A"/>
    <w:rsid w:val="00192A3E"/>
    <w:rsid w:val="00196D71"/>
    <w:rsid w:val="001A15BF"/>
    <w:rsid w:val="001A1AFD"/>
    <w:rsid w:val="001A2B37"/>
    <w:rsid w:val="001A372A"/>
    <w:rsid w:val="001A39D1"/>
    <w:rsid w:val="001A4321"/>
    <w:rsid w:val="001A4B67"/>
    <w:rsid w:val="001A530D"/>
    <w:rsid w:val="001A53BB"/>
    <w:rsid w:val="001A5403"/>
    <w:rsid w:val="001A6947"/>
    <w:rsid w:val="001A6E34"/>
    <w:rsid w:val="001A714D"/>
    <w:rsid w:val="001B0CDA"/>
    <w:rsid w:val="001B221B"/>
    <w:rsid w:val="001B2C66"/>
    <w:rsid w:val="001B39B2"/>
    <w:rsid w:val="001B56DD"/>
    <w:rsid w:val="001B7015"/>
    <w:rsid w:val="001B7448"/>
    <w:rsid w:val="001C0303"/>
    <w:rsid w:val="001C15A5"/>
    <w:rsid w:val="001C5A2B"/>
    <w:rsid w:val="001C6D3C"/>
    <w:rsid w:val="001C78B2"/>
    <w:rsid w:val="001D0647"/>
    <w:rsid w:val="001D12E2"/>
    <w:rsid w:val="001D3698"/>
    <w:rsid w:val="001D4DBC"/>
    <w:rsid w:val="001D55CF"/>
    <w:rsid w:val="001D633E"/>
    <w:rsid w:val="001E0AF0"/>
    <w:rsid w:val="001E32A7"/>
    <w:rsid w:val="001E367B"/>
    <w:rsid w:val="001E499C"/>
    <w:rsid w:val="001E5E99"/>
    <w:rsid w:val="001E6072"/>
    <w:rsid w:val="001E682F"/>
    <w:rsid w:val="001F06A0"/>
    <w:rsid w:val="001F0D1D"/>
    <w:rsid w:val="001F1D66"/>
    <w:rsid w:val="001F2A4A"/>
    <w:rsid w:val="001F3BF9"/>
    <w:rsid w:val="001F47F7"/>
    <w:rsid w:val="002005B8"/>
    <w:rsid w:val="00200B4E"/>
    <w:rsid w:val="00201BC8"/>
    <w:rsid w:val="002039C6"/>
    <w:rsid w:val="002045E4"/>
    <w:rsid w:val="00205950"/>
    <w:rsid w:val="00205A27"/>
    <w:rsid w:val="00210B1E"/>
    <w:rsid w:val="00212B19"/>
    <w:rsid w:val="00213885"/>
    <w:rsid w:val="002142A9"/>
    <w:rsid w:val="00214CC9"/>
    <w:rsid w:val="00217BC4"/>
    <w:rsid w:val="00217EC0"/>
    <w:rsid w:val="0022108F"/>
    <w:rsid w:val="00222747"/>
    <w:rsid w:val="00223651"/>
    <w:rsid w:val="00226078"/>
    <w:rsid w:val="00227A21"/>
    <w:rsid w:val="002321E5"/>
    <w:rsid w:val="002334E4"/>
    <w:rsid w:val="00233990"/>
    <w:rsid w:val="00233E3A"/>
    <w:rsid w:val="00235C29"/>
    <w:rsid w:val="00240E80"/>
    <w:rsid w:val="002419A3"/>
    <w:rsid w:val="002434FF"/>
    <w:rsid w:val="002477CC"/>
    <w:rsid w:val="00247C7B"/>
    <w:rsid w:val="00247E69"/>
    <w:rsid w:val="002500B0"/>
    <w:rsid w:val="00252488"/>
    <w:rsid w:val="00253236"/>
    <w:rsid w:val="002538B8"/>
    <w:rsid w:val="00255216"/>
    <w:rsid w:val="00255F36"/>
    <w:rsid w:val="00256E6F"/>
    <w:rsid w:val="0025757E"/>
    <w:rsid w:val="00260A79"/>
    <w:rsid w:val="00260FAC"/>
    <w:rsid w:val="002615CF"/>
    <w:rsid w:val="00262211"/>
    <w:rsid w:val="00262B72"/>
    <w:rsid w:val="00262DF3"/>
    <w:rsid w:val="0026367C"/>
    <w:rsid w:val="00264769"/>
    <w:rsid w:val="002675B5"/>
    <w:rsid w:val="00272AC0"/>
    <w:rsid w:val="00274416"/>
    <w:rsid w:val="00274593"/>
    <w:rsid w:val="0027724F"/>
    <w:rsid w:val="00281061"/>
    <w:rsid w:val="00282469"/>
    <w:rsid w:val="002861D3"/>
    <w:rsid w:val="00290824"/>
    <w:rsid w:val="00292F5E"/>
    <w:rsid w:val="00295212"/>
    <w:rsid w:val="002A2854"/>
    <w:rsid w:val="002A34C2"/>
    <w:rsid w:val="002A4520"/>
    <w:rsid w:val="002A47D1"/>
    <w:rsid w:val="002A505C"/>
    <w:rsid w:val="002A5DA2"/>
    <w:rsid w:val="002B0749"/>
    <w:rsid w:val="002B1550"/>
    <w:rsid w:val="002B1A9B"/>
    <w:rsid w:val="002B21C1"/>
    <w:rsid w:val="002B234E"/>
    <w:rsid w:val="002B24E0"/>
    <w:rsid w:val="002B3457"/>
    <w:rsid w:val="002B4CEC"/>
    <w:rsid w:val="002B7096"/>
    <w:rsid w:val="002B71A6"/>
    <w:rsid w:val="002B7746"/>
    <w:rsid w:val="002C1E9D"/>
    <w:rsid w:val="002C28D6"/>
    <w:rsid w:val="002C42F7"/>
    <w:rsid w:val="002C5754"/>
    <w:rsid w:val="002C79E6"/>
    <w:rsid w:val="002C7C06"/>
    <w:rsid w:val="002D1773"/>
    <w:rsid w:val="002D177E"/>
    <w:rsid w:val="002D1F3E"/>
    <w:rsid w:val="002D28FB"/>
    <w:rsid w:val="002D3875"/>
    <w:rsid w:val="002D4275"/>
    <w:rsid w:val="002D6434"/>
    <w:rsid w:val="002D665A"/>
    <w:rsid w:val="002D66D4"/>
    <w:rsid w:val="002D67E9"/>
    <w:rsid w:val="002D6DF9"/>
    <w:rsid w:val="002E02BA"/>
    <w:rsid w:val="002E0560"/>
    <w:rsid w:val="002E0BE0"/>
    <w:rsid w:val="002E1C5D"/>
    <w:rsid w:val="002E383C"/>
    <w:rsid w:val="002E520F"/>
    <w:rsid w:val="002E66CC"/>
    <w:rsid w:val="002E7D3B"/>
    <w:rsid w:val="002E7F65"/>
    <w:rsid w:val="002F056E"/>
    <w:rsid w:val="002F14A7"/>
    <w:rsid w:val="002F314C"/>
    <w:rsid w:val="002F5116"/>
    <w:rsid w:val="002F5277"/>
    <w:rsid w:val="002F72F5"/>
    <w:rsid w:val="002F7634"/>
    <w:rsid w:val="00300733"/>
    <w:rsid w:val="00302006"/>
    <w:rsid w:val="0030276E"/>
    <w:rsid w:val="003048C0"/>
    <w:rsid w:val="003066E7"/>
    <w:rsid w:val="003070E1"/>
    <w:rsid w:val="00307BBD"/>
    <w:rsid w:val="00310785"/>
    <w:rsid w:val="00310D6D"/>
    <w:rsid w:val="003117F0"/>
    <w:rsid w:val="00311BDF"/>
    <w:rsid w:val="0031328C"/>
    <w:rsid w:val="00314EC4"/>
    <w:rsid w:val="0031572D"/>
    <w:rsid w:val="003159D8"/>
    <w:rsid w:val="00315CE8"/>
    <w:rsid w:val="003167A9"/>
    <w:rsid w:val="00317602"/>
    <w:rsid w:val="00320095"/>
    <w:rsid w:val="00320E58"/>
    <w:rsid w:val="003212FD"/>
    <w:rsid w:val="00321DE3"/>
    <w:rsid w:val="00322123"/>
    <w:rsid w:val="003243FD"/>
    <w:rsid w:val="00324E9E"/>
    <w:rsid w:val="00326E43"/>
    <w:rsid w:val="00330E6B"/>
    <w:rsid w:val="00332A2C"/>
    <w:rsid w:val="00332D5C"/>
    <w:rsid w:val="0033542B"/>
    <w:rsid w:val="00337931"/>
    <w:rsid w:val="00337EAF"/>
    <w:rsid w:val="003420FA"/>
    <w:rsid w:val="00344403"/>
    <w:rsid w:val="00344F9C"/>
    <w:rsid w:val="0034512D"/>
    <w:rsid w:val="00347A7B"/>
    <w:rsid w:val="00350BFC"/>
    <w:rsid w:val="0035259D"/>
    <w:rsid w:val="00352B1B"/>
    <w:rsid w:val="00352E04"/>
    <w:rsid w:val="00353FCE"/>
    <w:rsid w:val="003546C4"/>
    <w:rsid w:val="00354A8D"/>
    <w:rsid w:val="00355AA4"/>
    <w:rsid w:val="003570D1"/>
    <w:rsid w:val="00361DE4"/>
    <w:rsid w:val="003631A6"/>
    <w:rsid w:val="003654AC"/>
    <w:rsid w:val="00367354"/>
    <w:rsid w:val="00367F31"/>
    <w:rsid w:val="003705FF"/>
    <w:rsid w:val="003717DD"/>
    <w:rsid w:val="003725C5"/>
    <w:rsid w:val="00372607"/>
    <w:rsid w:val="003728C8"/>
    <w:rsid w:val="0037341C"/>
    <w:rsid w:val="00373D08"/>
    <w:rsid w:val="00375757"/>
    <w:rsid w:val="0037722C"/>
    <w:rsid w:val="00377549"/>
    <w:rsid w:val="0038037E"/>
    <w:rsid w:val="0038042D"/>
    <w:rsid w:val="00386316"/>
    <w:rsid w:val="00387401"/>
    <w:rsid w:val="00391700"/>
    <w:rsid w:val="00392B9A"/>
    <w:rsid w:val="00392BE4"/>
    <w:rsid w:val="00393E23"/>
    <w:rsid w:val="00394A19"/>
    <w:rsid w:val="00395796"/>
    <w:rsid w:val="003958D3"/>
    <w:rsid w:val="00395D2E"/>
    <w:rsid w:val="00396C8D"/>
    <w:rsid w:val="0039754A"/>
    <w:rsid w:val="003A0C8A"/>
    <w:rsid w:val="003A21C6"/>
    <w:rsid w:val="003A332A"/>
    <w:rsid w:val="003A3736"/>
    <w:rsid w:val="003A4732"/>
    <w:rsid w:val="003A5305"/>
    <w:rsid w:val="003A5FB9"/>
    <w:rsid w:val="003A7CD2"/>
    <w:rsid w:val="003A7FA2"/>
    <w:rsid w:val="003B0E86"/>
    <w:rsid w:val="003B1421"/>
    <w:rsid w:val="003B2C87"/>
    <w:rsid w:val="003B45B1"/>
    <w:rsid w:val="003B4641"/>
    <w:rsid w:val="003B4C46"/>
    <w:rsid w:val="003B519D"/>
    <w:rsid w:val="003B550A"/>
    <w:rsid w:val="003B6FF2"/>
    <w:rsid w:val="003B7873"/>
    <w:rsid w:val="003B7A67"/>
    <w:rsid w:val="003C0A73"/>
    <w:rsid w:val="003C0A8B"/>
    <w:rsid w:val="003C15A5"/>
    <w:rsid w:val="003C1DED"/>
    <w:rsid w:val="003C323E"/>
    <w:rsid w:val="003C5EF5"/>
    <w:rsid w:val="003C6AFC"/>
    <w:rsid w:val="003D09DB"/>
    <w:rsid w:val="003D1820"/>
    <w:rsid w:val="003D1A16"/>
    <w:rsid w:val="003D2423"/>
    <w:rsid w:val="003D55AD"/>
    <w:rsid w:val="003D69D2"/>
    <w:rsid w:val="003D7522"/>
    <w:rsid w:val="003E00AA"/>
    <w:rsid w:val="003E1347"/>
    <w:rsid w:val="003E1389"/>
    <w:rsid w:val="003E2D09"/>
    <w:rsid w:val="003E3913"/>
    <w:rsid w:val="003E4005"/>
    <w:rsid w:val="003E4136"/>
    <w:rsid w:val="003E4FC5"/>
    <w:rsid w:val="003E6235"/>
    <w:rsid w:val="003E6708"/>
    <w:rsid w:val="003E68F5"/>
    <w:rsid w:val="003E71C5"/>
    <w:rsid w:val="003F10E6"/>
    <w:rsid w:val="003F5AD6"/>
    <w:rsid w:val="003F7AE3"/>
    <w:rsid w:val="00400063"/>
    <w:rsid w:val="00400683"/>
    <w:rsid w:val="00401640"/>
    <w:rsid w:val="00403D6D"/>
    <w:rsid w:val="00403EEC"/>
    <w:rsid w:val="0040593F"/>
    <w:rsid w:val="00406AB5"/>
    <w:rsid w:val="0040705D"/>
    <w:rsid w:val="004071DB"/>
    <w:rsid w:val="004107FB"/>
    <w:rsid w:val="0041306D"/>
    <w:rsid w:val="00414230"/>
    <w:rsid w:val="00416100"/>
    <w:rsid w:val="004165DC"/>
    <w:rsid w:val="0041684D"/>
    <w:rsid w:val="004203CA"/>
    <w:rsid w:val="00420F3D"/>
    <w:rsid w:val="00420FFE"/>
    <w:rsid w:val="00426969"/>
    <w:rsid w:val="0042709D"/>
    <w:rsid w:val="0043016F"/>
    <w:rsid w:val="004314BE"/>
    <w:rsid w:val="00431846"/>
    <w:rsid w:val="0043237F"/>
    <w:rsid w:val="004335C7"/>
    <w:rsid w:val="00434008"/>
    <w:rsid w:val="00434AD2"/>
    <w:rsid w:val="00434E27"/>
    <w:rsid w:val="0043564E"/>
    <w:rsid w:val="00437375"/>
    <w:rsid w:val="00441CC5"/>
    <w:rsid w:val="0044311C"/>
    <w:rsid w:val="00444020"/>
    <w:rsid w:val="00445757"/>
    <w:rsid w:val="00446401"/>
    <w:rsid w:val="00446634"/>
    <w:rsid w:val="00446AA5"/>
    <w:rsid w:val="004474C3"/>
    <w:rsid w:val="00450280"/>
    <w:rsid w:val="004514D8"/>
    <w:rsid w:val="00451E39"/>
    <w:rsid w:val="0045202E"/>
    <w:rsid w:val="00452C11"/>
    <w:rsid w:val="004531F9"/>
    <w:rsid w:val="0045545C"/>
    <w:rsid w:val="004568D8"/>
    <w:rsid w:val="0046149A"/>
    <w:rsid w:val="00462FCB"/>
    <w:rsid w:val="0046365D"/>
    <w:rsid w:val="0046629A"/>
    <w:rsid w:val="0046633A"/>
    <w:rsid w:val="00466696"/>
    <w:rsid w:val="004675FD"/>
    <w:rsid w:val="004720B5"/>
    <w:rsid w:val="00472F8B"/>
    <w:rsid w:val="00473EB7"/>
    <w:rsid w:val="00476A7D"/>
    <w:rsid w:val="004800A8"/>
    <w:rsid w:val="0048101D"/>
    <w:rsid w:val="00481500"/>
    <w:rsid w:val="00483455"/>
    <w:rsid w:val="004839C1"/>
    <w:rsid w:val="00486C7F"/>
    <w:rsid w:val="00486E6E"/>
    <w:rsid w:val="004874BA"/>
    <w:rsid w:val="0049115B"/>
    <w:rsid w:val="00492688"/>
    <w:rsid w:val="004A0632"/>
    <w:rsid w:val="004A0AF4"/>
    <w:rsid w:val="004A13A4"/>
    <w:rsid w:val="004A42EC"/>
    <w:rsid w:val="004A4507"/>
    <w:rsid w:val="004A483A"/>
    <w:rsid w:val="004A592E"/>
    <w:rsid w:val="004A620E"/>
    <w:rsid w:val="004A6D0D"/>
    <w:rsid w:val="004A7541"/>
    <w:rsid w:val="004A76BB"/>
    <w:rsid w:val="004B110F"/>
    <w:rsid w:val="004B225E"/>
    <w:rsid w:val="004B3237"/>
    <w:rsid w:val="004B360D"/>
    <w:rsid w:val="004B423D"/>
    <w:rsid w:val="004B6465"/>
    <w:rsid w:val="004B6F5F"/>
    <w:rsid w:val="004B7088"/>
    <w:rsid w:val="004B758B"/>
    <w:rsid w:val="004B770D"/>
    <w:rsid w:val="004B7F51"/>
    <w:rsid w:val="004C07CC"/>
    <w:rsid w:val="004C0EC2"/>
    <w:rsid w:val="004C13B0"/>
    <w:rsid w:val="004C32AB"/>
    <w:rsid w:val="004C36AB"/>
    <w:rsid w:val="004C3CF8"/>
    <w:rsid w:val="004C4283"/>
    <w:rsid w:val="004C5F93"/>
    <w:rsid w:val="004C6570"/>
    <w:rsid w:val="004D2B2C"/>
    <w:rsid w:val="004D2FB9"/>
    <w:rsid w:val="004D55F5"/>
    <w:rsid w:val="004D61E8"/>
    <w:rsid w:val="004E3C6B"/>
    <w:rsid w:val="004E4BE6"/>
    <w:rsid w:val="004E5928"/>
    <w:rsid w:val="004E5B72"/>
    <w:rsid w:val="004F0E9A"/>
    <w:rsid w:val="004F290B"/>
    <w:rsid w:val="004F36D8"/>
    <w:rsid w:val="004F3FEE"/>
    <w:rsid w:val="004F3FFD"/>
    <w:rsid w:val="004F4F0C"/>
    <w:rsid w:val="004F61D3"/>
    <w:rsid w:val="004F627E"/>
    <w:rsid w:val="00501B86"/>
    <w:rsid w:val="00502908"/>
    <w:rsid w:val="00503992"/>
    <w:rsid w:val="00503DB4"/>
    <w:rsid w:val="00504357"/>
    <w:rsid w:val="00504B5D"/>
    <w:rsid w:val="005131E4"/>
    <w:rsid w:val="0051365C"/>
    <w:rsid w:val="005141CF"/>
    <w:rsid w:val="00514A6D"/>
    <w:rsid w:val="0051545E"/>
    <w:rsid w:val="00515D68"/>
    <w:rsid w:val="0051655E"/>
    <w:rsid w:val="005179AC"/>
    <w:rsid w:val="005179EC"/>
    <w:rsid w:val="00517F04"/>
    <w:rsid w:val="00521A8E"/>
    <w:rsid w:val="00521CD4"/>
    <w:rsid w:val="00524507"/>
    <w:rsid w:val="005252E7"/>
    <w:rsid w:val="00526606"/>
    <w:rsid w:val="00527A00"/>
    <w:rsid w:val="00531CF0"/>
    <w:rsid w:val="00533849"/>
    <w:rsid w:val="0053627D"/>
    <w:rsid w:val="00540816"/>
    <w:rsid w:val="005418FA"/>
    <w:rsid w:val="005426DA"/>
    <w:rsid w:val="005434A3"/>
    <w:rsid w:val="005459C9"/>
    <w:rsid w:val="0054666B"/>
    <w:rsid w:val="00546EE5"/>
    <w:rsid w:val="00552C33"/>
    <w:rsid w:val="00555BCD"/>
    <w:rsid w:val="00557903"/>
    <w:rsid w:val="00557FD7"/>
    <w:rsid w:val="00560167"/>
    <w:rsid w:val="00560E3D"/>
    <w:rsid w:val="005611D9"/>
    <w:rsid w:val="00561C80"/>
    <w:rsid w:val="0056354C"/>
    <w:rsid w:val="005667D6"/>
    <w:rsid w:val="005712E8"/>
    <w:rsid w:val="00576D2B"/>
    <w:rsid w:val="005800B1"/>
    <w:rsid w:val="00580296"/>
    <w:rsid w:val="005811CD"/>
    <w:rsid w:val="00581ACE"/>
    <w:rsid w:val="005825A5"/>
    <w:rsid w:val="00583EE0"/>
    <w:rsid w:val="00586AA1"/>
    <w:rsid w:val="00587CC1"/>
    <w:rsid w:val="00590061"/>
    <w:rsid w:val="00590AD0"/>
    <w:rsid w:val="00591E83"/>
    <w:rsid w:val="00592558"/>
    <w:rsid w:val="00592DEB"/>
    <w:rsid w:val="005937C5"/>
    <w:rsid w:val="00593B6C"/>
    <w:rsid w:val="00596593"/>
    <w:rsid w:val="005970CC"/>
    <w:rsid w:val="005978E2"/>
    <w:rsid w:val="00597B87"/>
    <w:rsid w:val="005A0544"/>
    <w:rsid w:val="005A18E8"/>
    <w:rsid w:val="005A2DD3"/>
    <w:rsid w:val="005A6DCC"/>
    <w:rsid w:val="005A6FD2"/>
    <w:rsid w:val="005A7EB8"/>
    <w:rsid w:val="005B1EEA"/>
    <w:rsid w:val="005B21A6"/>
    <w:rsid w:val="005B3583"/>
    <w:rsid w:val="005B6DDB"/>
    <w:rsid w:val="005C0B01"/>
    <w:rsid w:val="005C4E83"/>
    <w:rsid w:val="005C4F4F"/>
    <w:rsid w:val="005C55C8"/>
    <w:rsid w:val="005C5FF4"/>
    <w:rsid w:val="005D2D88"/>
    <w:rsid w:val="005D2F66"/>
    <w:rsid w:val="005D3040"/>
    <w:rsid w:val="005D6932"/>
    <w:rsid w:val="005D7290"/>
    <w:rsid w:val="005D7956"/>
    <w:rsid w:val="005E132A"/>
    <w:rsid w:val="005E3311"/>
    <w:rsid w:val="005E48A3"/>
    <w:rsid w:val="005E53AE"/>
    <w:rsid w:val="005E6CAA"/>
    <w:rsid w:val="005F18F3"/>
    <w:rsid w:val="005F1C19"/>
    <w:rsid w:val="005F2B72"/>
    <w:rsid w:val="005F2FA2"/>
    <w:rsid w:val="005F5E71"/>
    <w:rsid w:val="005F68E8"/>
    <w:rsid w:val="005F7DB1"/>
    <w:rsid w:val="00600806"/>
    <w:rsid w:val="00600FB5"/>
    <w:rsid w:val="0060174A"/>
    <w:rsid w:val="00603CBE"/>
    <w:rsid w:val="006048C8"/>
    <w:rsid w:val="00611C58"/>
    <w:rsid w:val="00611CB0"/>
    <w:rsid w:val="00611D25"/>
    <w:rsid w:val="00612D1B"/>
    <w:rsid w:val="00613EE6"/>
    <w:rsid w:val="006147C1"/>
    <w:rsid w:val="0061530B"/>
    <w:rsid w:val="00615969"/>
    <w:rsid w:val="00615D18"/>
    <w:rsid w:val="00616D33"/>
    <w:rsid w:val="006255B6"/>
    <w:rsid w:val="006256A9"/>
    <w:rsid w:val="00625987"/>
    <w:rsid w:val="00627996"/>
    <w:rsid w:val="00627EF4"/>
    <w:rsid w:val="00630563"/>
    <w:rsid w:val="006336D7"/>
    <w:rsid w:val="0063374B"/>
    <w:rsid w:val="006353A9"/>
    <w:rsid w:val="00635732"/>
    <w:rsid w:val="00635B92"/>
    <w:rsid w:val="006366CA"/>
    <w:rsid w:val="00637F78"/>
    <w:rsid w:val="00641178"/>
    <w:rsid w:val="006428B9"/>
    <w:rsid w:val="00642985"/>
    <w:rsid w:val="0064315F"/>
    <w:rsid w:val="006462C8"/>
    <w:rsid w:val="00646547"/>
    <w:rsid w:val="00650312"/>
    <w:rsid w:val="006508C2"/>
    <w:rsid w:val="00651FCF"/>
    <w:rsid w:val="00652262"/>
    <w:rsid w:val="006536A5"/>
    <w:rsid w:val="00654683"/>
    <w:rsid w:val="006558C1"/>
    <w:rsid w:val="006562B4"/>
    <w:rsid w:val="0066064E"/>
    <w:rsid w:val="00661BE3"/>
    <w:rsid w:val="006701AC"/>
    <w:rsid w:val="006702E8"/>
    <w:rsid w:val="006739A6"/>
    <w:rsid w:val="0067424B"/>
    <w:rsid w:val="00674394"/>
    <w:rsid w:val="00675793"/>
    <w:rsid w:val="006764D0"/>
    <w:rsid w:val="00676B60"/>
    <w:rsid w:val="00680283"/>
    <w:rsid w:val="00680318"/>
    <w:rsid w:val="00680AEE"/>
    <w:rsid w:val="0068132B"/>
    <w:rsid w:val="00681821"/>
    <w:rsid w:val="00682522"/>
    <w:rsid w:val="00682824"/>
    <w:rsid w:val="0068332C"/>
    <w:rsid w:val="00686827"/>
    <w:rsid w:val="00686C69"/>
    <w:rsid w:val="00686CA9"/>
    <w:rsid w:val="00686FCF"/>
    <w:rsid w:val="00690058"/>
    <w:rsid w:val="0069165D"/>
    <w:rsid w:val="00691CEB"/>
    <w:rsid w:val="0069297E"/>
    <w:rsid w:val="00693618"/>
    <w:rsid w:val="0069418A"/>
    <w:rsid w:val="00695E39"/>
    <w:rsid w:val="00695F10"/>
    <w:rsid w:val="006970C2"/>
    <w:rsid w:val="006A1337"/>
    <w:rsid w:val="006A1457"/>
    <w:rsid w:val="006A1605"/>
    <w:rsid w:val="006A17B4"/>
    <w:rsid w:val="006A465F"/>
    <w:rsid w:val="006A54C6"/>
    <w:rsid w:val="006A5FAB"/>
    <w:rsid w:val="006B10EF"/>
    <w:rsid w:val="006B179C"/>
    <w:rsid w:val="006B3F92"/>
    <w:rsid w:val="006B44C2"/>
    <w:rsid w:val="006B47E7"/>
    <w:rsid w:val="006B5045"/>
    <w:rsid w:val="006B729B"/>
    <w:rsid w:val="006C2076"/>
    <w:rsid w:val="006C3D9D"/>
    <w:rsid w:val="006C4BC5"/>
    <w:rsid w:val="006C6407"/>
    <w:rsid w:val="006C6D84"/>
    <w:rsid w:val="006C716F"/>
    <w:rsid w:val="006D1407"/>
    <w:rsid w:val="006D1A51"/>
    <w:rsid w:val="006D1F92"/>
    <w:rsid w:val="006D222C"/>
    <w:rsid w:val="006D234E"/>
    <w:rsid w:val="006D324B"/>
    <w:rsid w:val="006D3824"/>
    <w:rsid w:val="006D4E2F"/>
    <w:rsid w:val="006D54FE"/>
    <w:rsid w:val="006D57BE"/>
    <w:rsid w:val="006E0D35"/>
    <w:rsid w:val="006E27D4"/>
    <w:rsid w:val="006E2A63"/>
    <w:rsid w:val="006E2D3D"/>
    <w:rsid w:val="006E42B7"/>
    <w:rsid w:val="006E56D3"/>
    <w:rsid w:val="006E68C5"/>
    <w:rsid w:val="006E78A4"/>
    <w:rsid w:val="006E7A2E"/>
    <w:rsid w:val="006F11BA"/>
    <w:rsid w:val="006F1338"/>
    <w:rsid w:val="006F2947"/>
    <w:rsid w:val="006F3BA6"/>
    <w:rsid w:val="006F3BD1"/>
    <w:rsid w:val="006F3CDC"/>
    <w:rsid w:val="006F4E54"/>
    <w:rsid w:val="006F63EB"/>
    <w:rsid w:val="006F6F8C"/>
    <w:rsid w:val="006F73AD"/>
    <w:rsid w:val="007011A7"/>
    <w:rsid w:val="007021B3"/>
    <w:rsid w:val="007032F5"/>
    <w:rsid w:val="00706B72"/>
    <w:rsid w:val="007157F9"/>
    <w:rsid w:val="00715971"/>
    <w:rsid w:val="0071788E"/>
    <w:rsid w:val="00717BD5"/>
    <w:rsid w:val="00717F81"/>
    <w:rsid w:val="00720A5D"/>
    <w:rsid w:val="00721EDB"/>
    <w:rsid w:val="007228E9"/>
    <w:rsid w:val="00722D1D"/>
    <w:rsid w:val="00722F3E"/>
    <w:rsid w:val="0072308F"/>
    <w:rsid w:val="00723860"/>
    <w:rsid w:val="007245FD"/>
    <w:rsid w:val="00726A46"/>
    <w:rsid w:val="00726BBE"/>
    <w:rsid w:val="00727C56"/>
    <w:rsid w:val="00732493"/>
    <w:rsid w:val="0073265A"/>
    <w:rsid w:val="00732FF8"/>
    <w:rsid w:val="007350CC"/>
    <w:rsid w:val="007354C5"/>
    <w:rsid w:val="0073591C"/>
    <w:rsid w:val="00736F7D"/>
    <w:rsid w:val="0073726D"/>
    <w:rsid w:val="007374CD"/>
    <w:rsid w:val="00737CE2"/>
    <w:rsid w:val="007401AC"/>
    <w:rsid w:val="00741358"/>
    <w:rsid w:val="00741425"/>
    <w:rsid w:val="00742735"/>
    <w:rsid w:val="00745B2F"/>
    <w:rsid w:val="00750BA1"/>
    <w:rsid w:val="00750CDB"/>
    <w:rsid w:val="00753D08"/>
    <w:rsid w:val="00755B19"/>
    <w:rsid w:val="007561D4"/>
    <w:rsid w:val="00756377"/>
    <w:rsid w:val="007577F0"/>
    <w:rsid w:val="00757FCC"/>
    <w:rsid w:val="00762549"/>
    <w:rsid w:val="00764AD6"/>
    <w:rsid w:val="00766A44"/>
    <w:rsid w:val="00767D2D"/>
    <w:rsid w:val="007704DA"/>
    <w:rsid w:val="00770886"/>
    <w:rsid w:val="00770ACA"/>
    <w:rsid w:val="00771DF9"/>
    <w:rsid w:val="007724D9"/>
    <w:rsid w:val="007750E8"/>
    <w:rsid w:val="007755C4"/>
    <w:rsid w:val="00780854"/>
    <w:rsid w:val="007814AD"/>
    <w:rsid w:val="007842F4"/>
    <w:rsid w:val="00790639"/>
    <w:rsid w:val="00791588"/>
    <w:rsid w:val="00791FE0"/>
    <w:rsid w:val="00792AF7"/>
    <w:rsid w:val="00793651"/>
    <w:rsid w:val="00793C12"/>
    <w:rsid w:val="00793FF1"/>
    <w:rsid w:val="00794129"/>
    <w:rsid w:val="007949C2"/>
    <w:rsid w:val="00795B82"/>
    <w:rsid w:val="00795C73"/>
    <w:rsid w:val="007960FC"/>
    <w:rsid w:val="00797A3F"/>
    <w:rsid w:val="007A13AA"/>
    <w:rsid w:val="007A13B3"/>
    <w:rsid w:val="007A3301"/>
    <w:rsid w:val="007A519C"/>
    <w:rsid w:val="007A5422"/>
    <w:rsid w:val="007A599F"/>
    <w:rsid w:val="007A5F33"/>
    <w:rsid w:val="007A6BDF"/>
    <w:rsid w:val="007B037B"/>
    <w:rsid w:val="007B0596"/>
    <w:rsid w:val="007B2E41"/>
    <w:rsid w:val="007B6327"/>
    <w:rsid w:val="007B6FC6"/>
    <w:rsid w:val="007B73C3"/>
    <w:rsid w:val="007B7480"/>
    <w:rsid w:val="007C3D0D"/>
    <w:rsid w:val="007C5178"/>
    <w:rsid w:val="007C6B7B"/>
    <w:rsid w:val="007C74D6"/>
    <w:rsid w:val="007D2520"/>
    <w:rsid w:val="007D4E6C"/>
    <w:rsid w:val="007D54E7"/>
    <w:rsid w:val="007D5B4F"/>
    <w:rsid w:val="007D64A1"/>
    <w:rsid w:val="007D740A"/>
    <w:rsid w:val="007D7E98"/>
    <w:rsid w:val="007E104A"/>
    <w:rsid w:val="007E204E"/>
    <w:rsid w:val="007E46DE"/>
    <w:rsid w:val="007E4711"/>
    <w:rsid w:val="007E4B91"/>
    <w:rsid w:val="007E58C7"/>
    <w:rsid w:val="007E5987"/>
    <w:rsid w:val="007E611D"/>
    <w:rsid w:val="007E657A"/>
    <w:rsid w:val="007F040A"/>
    <w:rsid w:val="007F06A7"/>
    <w:rsid w:val="007F1373"/>
    <w:rsid w:val="007F15A8"/>
    <w:rsid w:val="007F1EC5"/>
    <w:rsid w:val="007F3331"/>
    <w:rsid w:val="007F5107"/>
    <w:rsid w:val="007F55DB"/>
    <w:rsid w:val="007F58CE"/>
    <w:rsid w:val="007F712B"/>
    <w:rsid w:val="007F732F"/>
    <w:rsid w:val="0080056A"/>
    <w:rsid w:val="0080156A"/>
    <w:rsid w:val="0080162B"/>
    <w:rsid w:val="008063EA"/>
    <w:rsid w:val="0080666F"/>
    <w:rsid w:val="00807DCC"/>
    <w:rsid w:val="00807F11"/>
    <w:rsid w:val="00810FC3"/>
    <w:rsid w:val="008116E5"/>
    <w:rsid w:val="00814449"/>
    <w:rsid w:val="00814FFB"/>
    <w:rsid w:val="00816344"/>
    <w:rsid w:val="008163E1"/>
    <w:rsid w:val="00816A89"/>
    <w:rsid w:val="0081762C"/>
    <w:rsid w:val="00824EEE"/>
    <w:rsid w:val="00826DD5"/>
    <w:rsid w:val="008270E1"/>
    <w:rsid w:val="0083056F"/>
    <w:rsid w:val="00830610"/>
    <w:rsid w:val="008311FA"/>
    <w:rsid w:val="0083168D"/>
    <w:rsid w:val="00831A98"/>
    <w:rsid w:val="00831C1A"/>
    <w:rsid w:val="0083285A"/>
    <w:rsid w:val="00833610"/>
    <w:rsid w:val="00833C8B"/>
    <w:rsid w:val="00833FC7"/>
    <w:rsid w:val="00835A70"/>
    <w:rsid w:val="0084186F"/>
    <w:rsid w:val="00844087"/>
    <w:rsid w:val="00844605"/>
    <w:rsid w:val="00846B29"/>
    <w:rsid w:val="00847633"/>
    <w:rsid w:val="00853D0C"/>
    <w:rsid w:val="00854571"/>
    <w:rsid w:val="008559C7"/>
    <w:rsid w:val="00856D6E"/>
    <w:rsid w:val="0085738A"/>
    <w:rsid w:val="008573F1"/>
    <w:rsid w:val="008602E0"/>
    <w:rsid w:val="00860C8A"/>
    <w:rsid w:val="00860D5D"/>
    <w:rsid w:val="00862059"/>
    <w:rsid w:val="008632CF"/>
    <w:rsid w:val="0086597B"/>
    <w:rsid w:val="00865EEC"/>
    <w:rsid w:val="00871B67"/>
    <w:rsid w:val="00873261"/>
    <w:rsid w:val="0087676A"/>
    <w:rsid w:val="00877BF9"/>
    <w:rsid w:val="008801B9"/>
    <w:rsid w:val="00882E19"/>
    <w:rsid w:val="00884952"/>
    <w:rsid w:val="00885315"/>
    <w:rsid w:val="00887957"/>
    <w:rsid w:val="0089096D"/>
    <w:rsid w:val="00890F7B"/>
    <w:rsid w:val="00891278"/>
    <w:rsid w:val="00891B92"/>
    <w:rsid w:val="00893864"/>
    <w:rsid w:val="008938CE"/>
    <w:rsid w:val="00895E58"/>
    <w:rsid w:val="008A0E1A"/>
    <w:rsid w:val="008A0FB2"/>
    <w:rsid w:val="008A1BDD"/>
    <w:rsid w:val="008A23DF"/>
    <w:rsid w:val="008A3739"/>
    <w:rsid w:val="008A5D7E"/>
    <w:rsid w:val="008A709D"/>
    <w:rsid w:val="008A734A"/>
    <w:rsid w:val="008A76DB"/>
    <w:rsid w:val="008B06E2"/>
    <w:rsid w:val="008B0A8D"/>
    <w:rsid w:val="008B1881"/>
    <w:rsid w:val="008B3EC6"/>
    <w:rsid w:val="008B3FA4"/>
    <w:rsid w:val="008B42BC"/>
    <w:rsid w:val="008B58DA"/>
    <w:rsid w:val="008B606E"/>
    <w:rsid w:val="008B66C0"/>
    <w:rsid w:val="008B72C0"/>
    <w:rsid w:val="008B790A"/>
    <w:rsid w:val="008C0AE4"/>
    <w:rsid w:val="008C1DAA"/>
    <w:rsid w:val="008C4797"/>
    <w:rsid w:val="008C4F10"/>
    <w:rsid w:val="008C5BF5"/>
    <w:rsid w:val="008C6BED"/>
    <w:rsid w:val="008C722B"/>
    <w:rsid w:val="008D3788"/>
    <w:rsid w:val="008E1512"/>
    <w:rsid w:val="008E18A7"/>
    <w:rsid w:val="008E1B5E"/>
    <w:rsid w:val="008E2E0B"/>
    <w:rsid w:val="008E3AD6"/>
    <w:rsid w:val="008E4FEC"/>
    <w:rsid w:val="008E51B8"/>
    <w:rsid w:val="008E57EC"/>
    <w:rsid w:val="008E59E3"/>
    <w:rsid w:val="008E65E5"/>
    <w:rsid w:val="008E6816"/>
    <w:rsid w:val="008F1095"/>
    <w:rsid w:val="008F3429"/>
    <w:rsid w:val="008F3458"/>
    <w:rsid w:val="008F34ED"/>
    <w:rsid w:val="008F47A9"/>
    <w:rsid w:val="008F6DE8"/>
    <w:rsid w:val="00900089"/>
    <w:rsid w:val="00900CD5"/>
    <w:rsid w:val="00901113"/>
    <w:rsid w:val="00904087"/>
    <w:rsid w:val="00904A6D"/>
    <w:rsid w:val="00904B5D"/>
    <w:rsid w:val="009076D9"/>
    <w:rsid w:val="00910F14"/>
    <w:rsid w:val="009156C6"/>
    <w:rsid w:val="00916B3A"/>
    <w:rsid w:val="0091768D"/>
    <w:rsid w:val="00920CE5"/>
    <w:rsid w:val="00920D0A"/>
    <w:rsid w:val="0092122A"/>
    <w:rsid w:val="00922386"/>
    <w:rsid w:val="00924299"/>
    <w:rsid w:val="0092495A"/>
    <w:rsid w:val="009249D5"/>
    <w:rsid w:val="00925B40"/>
    <w:rsid w:val="00931103"/>
    <w:rsid w:val="00932F46"/>
    <w:rsid w:val="00932F6B"/>
    <w:rsid w:val="0093370B"/>
    <w:rsid w:val="00933D3E"/>
    <w:rsid w:val="00935458"/>
    <w:rsid w:val="00935593"/>
    <w:rsid w:val="00935686"/>
    <w:rsid w:val="009358AA"/>
    <w:rsid w:val="00935F0D"/>
    <w:rsid w:val="00936C72"/>
    <w:rsid w:val="00937184"/>
    <w:rsid w:val="009409AE"/>
    <w:rsid w:val="00941174"/>
    <w:rsid w:val="00942391"/>
    <w:rsid w:val="00942FC9"/>
    <w:rsid w:val="00945A94"/>
    <w:rsid w:val="00950796"/>
    <w:rsid w:val="009510EC"/>
    <w:rsid w:val="0095192E"/>
    <w:rsid w:val="00952015"/>
    <w:rsid w:val="00952271"/>
    <w:rsid w:val="00952CB4"/>
    <w:rsid w:val="009535CC"/>
    <w:rsid w:val="00954371"/>
    <w:rsid w:val="0095453F"/>
    <w:rsid w:val="00954CAF"/>
    <w:rsid w:val="009563B4"/>
    <w:rsid w:val="009578E3"/>
    <w:rsid w:val="00960F2F"/>
    <w:rsid w:val="0096152F"/>
    <w:rsid w:val="00961766"/>
    <w:rsid w:val="00961EA7"/>
    <w:rsid w:val="009647CE"/>
    <w:rsid w:val="009647FA"/>
    <w:rsid w:val="00965C27"/>
    <w:rsid w:val="0097040C"/>
    <w:rsid w:val="00971909"/>
    <w:rsid w:val="0097196D"/>
    <w:rsid w:val="00972848"/>
    <w:rsid w:val="009744F3"/>
    <w:rsid w:val="00974C76"/>
    <w:rsid w:val="009772D7"/>
    <w:rsid w:val="009777DB"/>
    <w:rsid w:val="009833DC"/>
    <w:rsid w:val="00983E96"/>
    <w:rsid w:val="00984651"/>
    <w:rsid w:val="00985794"/>
    <w:rsid w:val="00985DD0"/>
    <w:rsid w:val="00987CE8"/>
    <w:rsid w:val="0099054C"/>
    <w:rsid w:val="0099107E"/>
    <w:rsid w:val="00992656"/>
    <w:rsid w:val="0099282A"/>
    <w:rsid w:val="00992BCB"/>
    <w:rsid w:val="009931AD"/>
    <w:rsid w:val="00993291"/>
    <w:rsid w:val="009970CD"/>
    <w:rsid w:val="009A05C0"/>
    <w:rsid w:val="009A22E2"/>
    <w:rsid w:val="009A2D65"/>
    <w:rsid w:val="009A2F61"/>
    <w:rsid w:val="009A4356"/>
    <w:rsid w:val="009A7055"/>
    <w:rsid w:val="009B0537"/>
    <w:rsid w:val="009B1263"/>
    <w:rsid w:val="009B197D"/>
    <w:rsid w:val="009B2F0D"/>
    <w:rsid w:val="009B3023"/>
    <w:rsid w:val="009B4C96"/>
    <w:rsid w:val="009B50D5"/>
    <w:rsid w:val="009B535C"/>
    <w:rsid w:val="009C18C8"/>
    <w:rsid w:val="009C2F7D"/>
    <w:rsid w:val="009C49D9"/>
    <w:rsid w:val="009C5A23"/>
    <w:rsid w:val="009C68EA"/>
    <w:rsid w:val="009C6B93"/>
    <w:rsid w:val="009C776E"/>
    <w:rsid w:val="009D17B1"/>
    <w:rsid w:val="009D30F2"/>
    <w:rsid w:val="009D3BAC"/>
    <w:rsid w:val="009D461A"/>
    <w:rsid w:val="009D4E73"/>
    <w:rsid w:val="009D5204"/>
    <w:rsid w:val="009D6300"/>
    <w:rsid w:val="009D74A4"/>
    <w:rsid w:val="009D7DBF"/>
    <w:rsid w:val="009E19EF"/>
    <w:rsid w:val="009E3973"/>
    <w:rsid w:val="009E3C42"/>
    <w:rsid w:val="009E6839"/>
    <w:rsid w:val="009F2DEC"/>
    <w:rsid w:val="009F31E1"/>
    <w:rsid w:val="009F3653"/>
    <w:rsid w:val="009F410D"/>
    <w:rsid w:val="009F58FF"/>
    <w:rsid w:val="009F76B2"/>
    <w:rsid w:val="009F7A9E"/>
    <w:rsid w:val="00A022F2"/>
    <w:rsid w:val="00A02A14"/>
    <w:rsid w:val="00A03005"/>
    <w:rsid w:val="00A045D5"/>
    <w:rsid w:val="00A04B06"/>
    <w:rsid w:val="00A06BF8"/>
    <w:rsid w:val="00A07A8B"/>
    <w:rsid w:val="00A1001B"/>
    <w:rsid w:val="00A10CF7"/>
    <w:rsid w:val="00A11B5F"/>
    <w:rsid w:val="00A133B6"/>
    <w:rsid w:val="00A13659"/>
    <w:rsid w:val="00A141E9"/>
    <w:rsid w:val="00A150A4"/>
    <w:rsid w:val="00A15D4E"/>
    <w:rsid w:val="00A16000"/>
    <w:rsid w:val="00A16AF1"/>
    <w:rsid w:val="00A17FE1"/>
    <w:rsid w:val="00A21487"/>
    <w:rsid w:val="00A214F7"/>
    <w:rsid w:val="00A21F4B"/>
    <w:rsid w:val="00A221FD"/>
    <w:rsid w:val="00A2377A"/>
    <w:rsid w:val="00A2515D"/>
    <w:rsid w:val="00A25C36"/>
    <w:rsid w:val="00A2668F"/>
    <w:rsid w:val="00A266A8"/>
    <w:rsid w:val="00A27AA4"/>
    <w:rsid w:val="00A322D9"/>
    <w:rsid w:val="00A33AD4"/>
    <w:rsid w:val="00A35524"/>
    <w:rsid w:val="00A35A56"/>
    <w:rsid w:val="00A37B15"/>
    <w:rsid w:val="00A37E88"/>
    <w:rsid w:val="00A4043A"/>
    <w:rsid w:val="00A40B85"/>
    <w:rsid w:val="00A41630"/>
    <w:rsid w:val="00A43A83"/>
    <w:rsid w:val="00A45055"/>
    <w:rsid w:val="00A4755F"/>
    <w:rsid w:val="00A47CFC"/>
    <w:rsid w:val="00A50F73"/>
    <w:rsid w:val="00A51B11"/>
    <w:rsid w:val="00A5219C"/>
    <w:rsid w:val="00A52626"/>
    <w:rsid w:val="00A53F9A"/>
    <w:rsid w:val="00A558AE"/>
    <w:rsid w:val="00A5630B"/>
    <w:rsid w:val="00A56930"/>
    <w:rsid w:val="00A57FD7"/>
    <w:rsid w:val="00A60001"/>
    <w:rsid w:val="00A611CC"/>
    <w:rsid w:val="00A62CB3"/>
    <w:rsid w:val="00A62E15"/>
    <w:rsid w:val="00A6302F"/>
    <w:rsid w:val="00A6437C"/>
    <w:rsid w:val="00A6443F"/>
    <w:rsid w:val="00A64EAC"/>
    <w:rsid w:val="00A66295"/>
    <w:rsid w:val="00A666ED"/>
    <w:rsid w:val="00A676F5"/>
    <w:rsid w:val="00A70574"/>
    <w:rsid w:val="00A7296E"/>
    <w:rsid w:val="00A736C3"/>
    <w:rsid w:val="00A73A16"/>
    <w:rsid w:val="00A74FF3"/>
    <w:rsid w:val="00A76953"/>
    <w:rsid w:val="00A80422"/>
    <w:rsid w:val="00A82532"/>
    <w:rsid w:val="00A83525"/>
    <w:rsid w:val="00A83AFF"/>
    <w:rsid w:val="00A8402B"/>
    <w:rsid w:val="00A846F0"/>
    <w:rsid w:val="00A85EDD"/>
    <w:rsid w:val="00A90061"/>
    <w:rsid w:val="00A91886"/>
    <w:rsid w:val="00A92159"/>
    <w:rsid w:val="00A92F95"/>
    <w:rsid w:val="00A93A2E"/>
    <w:rsid w:val="00A94E19"/>
    <w:rsid w:val="00A96CEB"/>
    <w:rsid w:val="00A97041"/>
    <w:rsid w:val="00A97AB5"/>
    <w:rsid w:val="00A97FBA"/>
    <w:rsid w:val="00AA3813"/>
    <w:rsid w:val="00AA4791"/>
    <w:rsid w:val="00AA5F0B"/>
    <w:rsid w:val="00AA61C9"/>
    <w:rsid w:val="00AA627F"/>
    <w:rsid w:val="00AA64B9"/>
    <w:rsid w:val="00AA7415"/>
    <w:rsid w:val="00AB055A"/>
    <w:rsid w:val="00AB09B4"/>
    <w:rsid w:val="00AB0EE3"/>
    <w:rsid w:val="00AB1CAE"/>
    <w:rsid w:val="00AB2CEA"/>
    <w:rsid w:val="00AB2E8B"/>
    <w:rsid w:val="00AB3883"/>
    <w:rsid w:val="00AB522E"/>
    <w:rsid w:val="00AB7C11"/>
    <w:rsid w:val="00AC0915"/>
    <w:rsid w:val="00AC2888"/>
    <w:rsid w:val="00AC33C5"/>
    <w:rsid w:val="00AC40D9"/>
    <w:rsid w:val="00AC4F5E"/>
    <w:rsid w:val="00AC4F69"/>
    <w:rsid w:val="00AC796B"/>
    <w:rsid w:val="00AC7C51"/>
    <w:rsid w:val="00AD5684"/>
    <w:rsid w:val="00AD6E33"/>
    <w:rsid w:val="00AD7AC8"/>
    <w:rsid w:val="00AE0274"/>
    <w:rsid w:val="00AE13B4"/>
    <w:rsid w:val="00AE1F30"/>
    <w:rsid w:val="00AE27AF"/>
    <w:rsid w:val="00AE407A"/>
    <w:rsid w:val="00AE4AF9"/>
    <w:rsid w:val="00AE4B9A"/>
    <w:rsid w:val="00AE6C9B"/>
    <w:rsid w:val="00AF0842"/>
    <w:rsid w:val="00AF38B2"/>
    <w:rsid w:val="00AF69CE"/>
    <w:rsid w:val="00AF7053"/>
    <w:rsid w:val="00B02B6C"/>
    <w:rsid w:val="00B02E1E"/>
    <w:rsid w:val="00B034EB"/>
    <w:rsid w:val="00B04797"/>
    <w:rsid w:val="00B049A0"/>
    <w:rsid w:val="00B059D3"/>
    <w:rsid w:val="00B06191"/>
    <w:rsid w:val="00B06532"/>
    <w:rsid w:val="00B07BD6"/>
    <w:rsid w:val="00B10A84"/>
    <w:rsid w:val="00B12B9F"/>
    <w:rsid w:val="00B13818"/>
    <w:rsid w:val="00B1440C"/>
    <w:rsid w:val="00B147F9"/>
    <w:rsid w:val="00B15C72"/>
    <w:rsid w:val="00B1692A"/>
    <w:rsid w:val="00B2090F"/>
    <w:rsid w:val="00B20F2A"/>
    <w:rsid w:val="00B21791"/>
    <w:rsid w:val="00B219BD"/>
    <w:rsid w:val="00B25138"/>
    <w:rsid w:val="00B37D64"/>
    <w:rsid w:val="00B4174D"/>
    <w:rsid w:val="00B430BC"/>
    <w:rsid w:val="00B46183"/>
    <w:rsid w:val="00B46CA5"/>
    <w:rsid w:val="00B47C02"/>
    <w:rsid w:val="00B53B62"/>
    <w:rsid w:val="00B54325"/>
    <w:rsid w:val="00B55309"/>
    <w:rsid w:val="00B56E10"/>
    <w:rsid w:val="00B603D3"/>
    <w:rsid w:val="00B64C65"/>
    <w:rsid w:val="00B65C2F"/>
    <w:rsid w:val="00B6662B"/>
    <w:rsid w:val="00B67BF4"/>
    <w:rsid w:val="00B70257"/>
    <w:rsid w:val="00B71DEA"/>
    <w:rsid w:val="00B73C00"/>
    <w:rsid w:val="00B74502"/>
    <w:rsid w:val="00B74BA6"/>
    <w:rsid w:val="00B7637B"/>
    <w:rsid w:val="00B76BEB"/>
    <w:rsid w:val="00B80653"/>
    <w:rsid w:val="00B81E7E"/>
    <w:rsid w:val="00B8208F"/>
    <w:rsid w:val="00B82B81"/>
    <w:rsid w:val="00B84CEE"/>
    <w:rsid w:val="00B84E11"/>
    <w:rsid w:val="00B87609"/>
    <w:rsid w:val="00B90CD7"/>
    <w:rsid w:val="00B91316"/>
    <w:rsid w:val="00B91B7C"/>
    <w:rsid w:val="00B9203F"/>
    <w:rsid w:val="00B94535"/>
    <w:rsid w:val="00B95B98"/>
    <w:rsid w:val="00BA0AE7"/>
    <w:rsid w:val="00BA37B2"/>
    <w:rsid w:val="00BA3A08"/>
    <w:rsid w:val="00BA4156"/>
    <w:rsid w:val="00BA6232"/>
    <w:rsid w:val="00BA77CC"/>
    <w:rsid w:val="00BB01A7"/>
    <w:rsid w:val="00BB048B"/>
    <w:rsid w:val="00BB0BEE"/>
    <w:rsid w:val="00BB0F11"/>
    <w:rsid w:val="00BB0F15"/>
    <w:rsid w:val="00BB2984"/>
    <w:rsid w:val="00BB29AE"/>
    <w:rsid w:val="00BB4E71"/>
    <w:rsid w:val="00BB65E4"/>
    <w:rsid w:val="00BB7733"/>
    <w:rsid w:val="00BB7E20"/>
    <w:rsid w:val="00BB7ECF"/>
    <w:rsid w:val="00BB7F6A"/>
    <w:rsid w:val="00BC06BE"/>
    <w:rsid w:val="00BC08AA"/>
    <w:rsid w:val="00BC09CE"/>
    <w:rsid w:val="00BC1D91"/>
    <w:rsid w:val="00BC1F10"/>
    <w:rsid w:val="00BC242B"/>
    <w:rsid w:val="00BC2ADC"/>
    <w:rsid w:val="00BC2B59"/>
    <w:rsid w:val="00BC34B5"/>
    <w:rsid w:val="00BC3FDD"/>
    <w:rsid w:val="00BC4B27"/>
    <w:rsid w:val="00BC638C"/>
    <w:rsid w:val="00BD0C2B"/>
    <w:rsid w:val="00BD200E"/>
    <w:rsid w:val="00BD27AE"/>
    <w:rsid w:val="00BD3668"/>
    <w:rsid w:val="00BD3670"/>
    <w:rsid w:val="00BD3FE6"/>
    <w:rsid w:val="00BD4FBB"/>
    <w:rsid w:val="00BD692F"/>
    <w:rsid w:val="00BD7701"/>
    <w:rsid w:val="00BD793E"/>
    <w:rsid w:val="00BE0AE8"/>
    <w:rsid w:val="00BE169F"/>
    <w:rsid w:val="00BE1A23"/>
    <w:rsid w:val="00BE1B7C"/>
    <w:rsid w:val="00BE47C6"/>
    <w:rsid w:val="00BF0997"/>
    <w:rsid w:val="00BF0E4A"/>
    <w:rsid w:val="00BF0E83"/>
    <w:rsid w:val="00BF1486"/>
    <w:rsid w:val="00BF18D7"/>
    <w:rsid w:val="00BF2F46"/>
    <w:rsid w:val="00BF343B"/>
    <w:rsid w:val="00BF3A5B"/>
    <w:rsid w:val="00BF4CC3"/>
    <w:rsid w:val="00BF78CA"/>
    <w:rsid w:val="00BF7EB4"/>
    <w:rsid w:val="00C01074"/>
    <w:rsid w:val="00C0636A"/>
    <w:rsid w:val="00C0677C"/>
    <w:rsid w:val="00C06CD7"/>
    <w:rsid w:val="00C10C26"/>
    <w:rsid w:val="00C1135F"/>
    <w:rsid w:val="00C133CD"/>
    <w:rsid w:val="00C1349E"/>
    <w:rsid w:val="00C135B9"/>
    <w:rsid w:val="00C13F9E"/>
    <w:rsid w:val="00C1601A"/>
    <w:rsid w:val="00C211AE"/>
    <w:rsid w:val="00C23DAA"/>
    <w:rsid w:val="00C252C5"/>
    <w:rsid w:val="00C260AC"/>
    <w:rsid w:val="00C26C64"/>
    <w:rsid w:val="00C27E16"/>
    <w:rsid w:val="00C30516"/>
    <w:rsid w:val="00C31659"/>
    <w:rsid w:val="00C32214"/>
    <w:rsid w:val="00C359C5"/>
    <w:rsid w:val="00C36357"/>
    <w:rsid w:val="00C37E35"/>
    <w:rsid w:val="00C4116B"/>
    <w:rsid w:val="00C4128E"/>
    <w:rsid w:val="00C41317"/>
    <w:rsid w:val="00C43388"/>
    <w:rsid w:val="00C45A19"/>
    <w:rsid w:val="00C46513"/>
    <w:rsid w:val="00C470D6"/>
    <w:rsid w:val="00C47C1A"/>
    <w:rsid w:val="00C50AF0"/>
    <w:rsid w:val="00C52540"/>
    <w:rsid w:val="00C52D56"/>
    <w:rsid w:val="00C550D6"/>
    <w:rsid w:val="00C560E2"/>
    <w:rsid w:val="00C57244"/>
    <w:rsid w:val="00C57791"/>
    <w:rsid w:val="00C578CA"/>
    <w:rsid w:val="00C62198"/>
    <w:rsid w:val="00C628DF"/>
    <w:rsid w:val="00C64595"/>
    <w:rsid w:val="00C66994"/>
    <w:rsid w:val="00C7072E"/>
    <w:rsid w:val="00C70897"/>
    <w:rsid w:val="00C716EF"/>
    <w:rsid w:val="00C757D9"/>
    <w:rsid w:val="00C77C23"/>
    <w:rsid w:val="00C8227F"/>
    <w:rsid w:val="00C845BE"/>
    <w:rsid w:val="00C86130"/>
    <w:rsid w:val="00C86CCE"/>
    <w:rsid w:val="00C914B9"/>
    <w:rsid w:val="00C91A1D"/>
    <w:rsid w:val="00C9233B"/>
    <w:rsid w:val="00C92C68"/>
    <w:rsid w:val="00C9408D"/>
    <w:rsid w:val="00C952B0"/>
    <w:rsid w:val="00C97BCC"/>
    <w:rsid w:val="00CA0687"/>
    <w:rsid w:val="00CA1D93"/>
    <w:rsid w:val="00CA1F3A"/>
    <w:rsid w:val="00CA241E"/>
    <w:rsid w:val="00CA5B7C"/>
    <w:rsid w:val="00CA6B36"/>
    <w:rsid w:val="00CA7819"/>
    <w:rsid w:val="00CA7FC0"/>
    <w:rsid w:val="00CB05A8"/>
    <w:rsid w:val="00CB288A"/>
    <w:rsid w:val="00CB2C0D"/>
    <w:rsid w:val="00CB3C73"/>
    <w:rsid w:val="00CB5115"/>
    <w:rsid w:val="00CB523E"/>
    <w:rsid w:val="00CB7431"/>
    <w:rsid w:val="00CB7BF3"/>
    <w:rsid w:val="00CB7D14"/>
    <w:rsid w:val="00CC2F7D"/>
    <w:rsid w:val="00CC68F3"/>
    <w:rsid w:val="00CC7DD1"/>
    <w:rsid w:val="00CD244A"/>
    <w:rsid w:val="00CD269F"/>
    <w:rsid w:val="00CD2EB6"/>
    <w:rsid w:val="00CD346F"/>
    <w:rsid w:val="00CD496F"/>
    <w:rsid w:val="00CE16F4"/>
    <w:rsid w:val="00CE194F"/>
    <w:rsid w:val="00CE4087"/>
    <w:rsid w:val="00CE5546"/>
    <w:rsid w:val="00CE6190"/>
    <w:rsid w:val="00CE68E4"/>
    <w:rsid w:val="00CE74ED"/>
    <w:rsid w:val="00CF01F3"/>
    <w:rsid w:val="00CF047C"/>
    <w:rsid w:val="00CF2403"/>
    <w:rsid w:val="00CF2BA0"/>
    <w:rsid w:val="00CF4F36"/>
    <w:rsid w:val="00CF63AD"/>
    <w:rsid w:val="00CF79E2"/>
    <w:rsid w:val="00CF7FA1"/>
    <w:rsid w:val="00D0050C"/>
    <w:rsid w:val="00D1127F"/>
    <w:rsid w:val="00D1148D"/>
    <w:rsid w:val="00D128BF"/>
    <w:rsid w:val="00D14680"/>
    <w:rsid w:val="00D14D97"/>
    <w:rsid w:val="00D16CBB"/>
    <w:rsid w:val="00D16D2E"/>
    <w:rsid w:val="00D17F69"/>
    <w:rsid w:val="00D17FA1"/>
    <w:rsid w:val="00D20591"/>
    <w:rsid w:val="00D205B9"/>
    <w:rsid w:val="00D20AF6"/>
    <w:rsid w:val="00D20EB2"/>
    <w:rsid w:val="00D22AA2"/>
    <w:rsid w:val="00D24219"/>
    <w:rsid w:val="00D2672A"/>
    <w:rsid w:val="00D26850"/>
    <w:rsid w:val="00D26FA0"/>
    <w:rsid w:val="00D300CA"/>
    <w:rsid w:val="00D30820"/>
    <w:rsid w:val="00D30AD1"/>
    <w:rsid w:val="00D31528"/>
    <w:rsid w:val="00D31C6F"/>
    <w:rsid w:val="00D32A61"/>
    <w:rsid w:val="00D337B8"/>
    <w:rsid w:val="00D34451"/>
    <w:rsid w:val="00D34B1B"/>
    <w:rsid w:val="00D40F56"/>
    <w:rsid w:val="00D41E96"/>
    <w:rsid w:val="00D42A45"/>
    <w:rsid w:val="00D436F0"/>
    <w:rsid w:val="00D43DD7"/>
    <w:rsid w:val="00D4462F"/>
    <w:rsid w:val="00D468AB"/>
    <w:rsid w:val="00D4701D"/>
    <w:rsid w:val="00D50CFA"/>
    <w:rsid w:val="00D521E1"/>
    <w:rsid w:val="00D52662"/>
    <w:rsid w:val="00D52E2C"/>
    <w:rsid w:val="00D53B48"/>
    <w:rsid w:val="00D53C7D"/>
    <w:rsid w:val="00D54C81"/>
    <w:rsid w:val="00D54F42"/>
    <w:rsid w:val="00D568D9"/>
    <w:rsid w:val="00D576E5"/>
    <w:rsid w:val="00D60F49"/>
    <w:rsid w:val="00D6165E"/>
    <w:rsid w:val="00D619A9"/>
    <w:rsid w:val="00D62C19"/>
    <w:rsid w:val="00D62CDD"/>
    <w:rsid w:val="00D63DC8"/>
    <w:rsid w:val="00D64DC0"/>
    <w:rsid w:val="00D64F22"/>
    <w:rsid w:val="00D6548F"/>
    <w:rsid w:val="00D7003D"/>
    <w:rsid w:val="00D71090"/>
    <w:rsid w:val="00D71AF9"/>
    <w:rsid w:val="00D71E17"/>
    <w:rsid w:val="00D73B7F"/>
    <w:rsid w:val="00D76756"/>
    <w:rsid w:val="00D812AF"/>
    <w:rsid w:val="00D81526"/>
    <w:rsid w:val="00D82CB2"/>
    <w:rsid w:val="00D8324A"/>
    <w:rsid w:val="00D84233"/>
    <w:rsid w:val="00D85C7A"/>
    <w:rsid w:val="00D8639C"/>
    <w:rsid w:val="00D86BED"/>
    <w:rsid w:val="00D91E74"/>
    <w:rsid w:val="00D92F41"/>
    <w:rsid w:val="00D931E3"/>
    <w:rsid w:val="00D93F53"/>
    <w:rsid w:val="00D968F8"/>
    <w:rsid w:val="00DA015E"/>
    <w:rsid w:val="00DA27A3"/>
    <w:rsid w:val="00DA2F21"/>
    <w:rsid w:val="00DA31FB"/>
    <w:rsid w:val="00DA3C09"/>
    <w:rsid w:val="00DA54E4"/>
    <w:rsid w:val="00DA5B41"/>
    <w:rsid w:val="00DA709E"/>
    <w:rsid w:val="00DB018D"/>
    <w:rsid w:val="00DB1BFC"/>
    <w:rsid w:val="00DB26B5"/>
    <w:rsid w:val="00DB41FB"/>
    <w:rsid w:val="00DB4EFF"/>
    <w:rsid w:val="00DB53F8"/>
    <w:rsid w:val="00DB7119"/>
    <w:rsid w:val="00DC034C"/>
    <w:rsid w:val="00DC131C"/>
    <w:rsid w:val="00DC26E1"/>
    <w:rsid w:val="00DC7706"/>
    <w:rsid w:val="00DD05F1"/>
    <w:rsid w:val="00DD07ED"/>
    <w:rsid w:val="00DD0EFD"/>
    <w:rsid w:val="00DD0F4C"/>
    <w:rsid w:val="00DD3802"/>
    <w:rsid w:val="00DD673A"/>
    <w:rsid w:val="00DD7044"/>
    <w:rsid w:val="00DE0F56"/>
    <w:rsid w:val="00DE2159"/>
    <w:rsid w:val="00DE64F9"/>
    <w:rsid w:val="00DE73DC"/>
    <w:rsid w:val="00DF0DA4"/>
    <w:rsid w:val="00DF2B6D"/>
    <w:rsid w:val="00DF36E9"/>
    <w:rsid w:val="00DF7933"/>
    <w:rsid w:val="00E000E4"/>
    <w:rsid w:val="00E0158B"/>
    <w:rsid w:val="00E01A45"/>
    <w:rsid w:val="00E03B8E"/>
    <w:rsid w:val="00E065C5"/>
    <w:rsid w:val="00E068FE"/>
    <w:rsid w:val="00E0694E"/>
    <w:rsid w:val="00E07E7A"/>
    <w:rsid w:val="00E07F50"/>
    <w:rsid w:val="00E12454"/>
    <w:rsid w:val="00E15019"/>
    <w:rsid w:val="00E15AEB"/>
    <w:rsid w:val="00E16A8D"/>
    <w:rsid w:val="00E2011E"/>
    <w:rsid w:val="00E21EC7"/>
    <w:rsid w:val="00E22176"/>
    <w:rsid w:val="00E22247"/>
    <w:rsid w:val="00E232B7"/>
    <w:rsid w:val="00E25ADB"/>
    <w:rsid w:val="00E25CD0"/>
    <w:rsid w:val="00E26171"/>
    <w:rsid w:val="00E27D96"/>
    <w:rsid w:val="00E322AF"/>
    <w:rsid w:val="00E3235F"/>
    <w:rsid w:val="00E34522"/>
    <w:rsid w:val="00E36CB8"/>
    <w:rsid w:val="00E37ACA"/>
    <w:rsid w:val="00E40058"/>
    <w:rsid w:val="00E4217C"/>
    <w:rsid w:val="00E43661"/>
    <w:rsid w:val="00E4570B"/>
    <w:rsid w:val="00E47550"/>
    <w:rsid w:val="00E50C08"/>
    <w:rsid w:val="00E50E5D"/>
    <w:rsid w:val="00E51B97"/>
    <w:rsid w:val="00E534A3"/>
    <w:rsid w:val="00E55F18"/>
    <w:rsid w:val="00E62233"/>
    <w:rsid w:val="00E62A22"/>
    <w:rsid w:val="00E63EEE"/>
    <w:rsid w:val="00E64258"/>
    <w:rsid w:val="00E66253"/>
    <w:rsid w:val="00E6658F"/>
    <w:rsid w:val="00E7286C"/>
    <w:rsid w:val="00E728B5"/>
    <w:rsid w:val="00E756DB"/>
    <w:rsid w:val="00E777A7"/>
    <w:rsid w:val="00E777B2"/>
    <w:rsid w:val="00E81526"/>
    <w:rsid w:val="00E856B8"/>
    <w:rsid w:val="00E86EE7"/>
    <w:rsid w:val="00E87B0A"/>
    <w:rsid w:val="00E87B3A"/>
    <w:rsid w:val="00E87F43"/>
    <w:rsid w:val="00E9054A"/>
    <w:rsid w:val="00E92CF1"/>
    <w:rsid w:val="00E9442B"/>
    <w:rsid w:val="00EA013B"/>
    <w:rsid w:val="00EA0BC8"/>
    <w:rsid w:val="00EA4681"/>
    <w:rsid w:val="00EA4DD2"/>
    <w:rsid w:val="00EA6442"/>
    <w:rsid w:val="00EA66EB"/>
    <w:rsid w:val="00EA70A1"/>
    <w:rsid w:val="00EA799F"/>
    <w:rsid w:val="00EB0FCB"/>
    <w:rsid w:val="00EB13F8"/>
    <w:rsid w:val="00EB245F"/>
    <w:rsid w:val="00EB2B44"/>
    <w:rsid w:val="00EB2DB1"/>
    <w:rsid w:val="00EB316A"/>
    <w:rsid w:val="00EB3740"/>
    <w:rsid w:val="00EB49A2"/>
    <w:rsid w:val="00EB5A99"/>
    <w:rsid w:val="00EC2F74"/>
    <w:rsid w:val="00EC3902"/>
    <w:rsid w:val="00EC4418"/>
    <w:rsid w:val="00EC7515"/>
    <w:rsid w:val="00ED00D1"/>
    <w:rsid w:val="00ED0487"/>
    <w:rsid w:val="00ED2098"/>
    <w:rsid w:val="00ED2442"/>
    <w:rsid w:val="00ED2604"/>
    <w:rsid w:val="00ED3923"/>
    <w:rsid w:val="00ED3F82"/>
    <w:rsid w:val="00ED4135"/>
    <w:rsid w:val="00ED4D78"/>
    <w:rsid w:val="00ED5163"/>
    <w:rsid w:val="00ED5F81"/>
    <w:rsid w:val="00ED6B06"/>
    <w:rsid w:val="00ED71FB"/>
    <w:rsid w:val="00EE05B7"/>
    <w:rsid w:val="00EE22E8"/>
    <w:rsid w:val="00EE37FA"/>
    <w:rsid w:val="00EE3963"/>
    <w:rsid w:val="00EE4034"/>
    <w:rsid w:val="00EE43E6"/>
    <w:rsid w:val="00EE4408"/>
    <w:rsid w:val="00EE5D32"/>
    <w:rsid w:val="00EE5DA2"/>
    <w:rsid w:val="00EE69EF"/>
    <w:rsid w:val="00EF18DF"/>
    <w:rsid w:val="00EF255E"/>
    <w:rsid w:val="00EF4E91"/>
    <w:rsid w:val="00EF5007"/>
    <w:rsid w:val="00EF5278"/>
    <w:rsid w:val="00EF73B8"/>
    <w:rsid w:val="00F00126"/>
    <w:rsid w:val="00F0033B"/>
    <w:rsid w:val="00F0073F"/>
    <w:rsid w:val="00F00EB5"/>
    <w:rsid w:val="00F013C5"/>
    <w:rsid w:val="00F03D02"/>
    <w:rsid w:val="00F04259"/>
    <w:rsid w:val="00F047B0"/>
    <w:rsid w:val="00F04FDD"/>
    <w:rsid w:val="00F055BC"/>
    <w:rsid w:val="00F06429"/>
    <w:rsid w:val="00F0650C"/>
    <w:rsid w:val="00F0794A"/>
    <w:rsid w:val="00F07A9D"/>
    <w:rsid w:val="00F11549"/>
    <w:rsid w:val="00F140E1"/>
    <w:rsid w:val="00F161E5"/>
    <w:rsid w:val="00F16970"/>
    <w:rsid w:val="00F16D7C"/>
    <w:rsid w:val="00F17EAF"/>
    <w:rsid w:val="00F20A6D"/>
    <w:rsid w:val="00F20C59"/>
    <w:rsid w:val="00F21B21"/>
    <w:rsid w:val="00F24192"/>
    <w:rsid w:val="00F25283"/>
    <w:rsid w:val="00F2541C"/>
    <w:rsid w:val="00F27D30"/>
    <w:rsid w:val="00F31526"/>
    <w:rsid w:val="00F31FCE"/>
    <w:rsid w:val="00F324B4"/>
    <w:rsid w:val="00F32C46"/>
    <w:rsid w:val="00F32CFB"/>
    <w:rsid w:val="00F335B0"/>
    <w:rsid w:val="00F3373B"/>
    <w:rsid w:val="00F33F56"/>
    <w:rsid w:val="00F37D87"/>
    <w:rsid w:val="00F40F18"/>
    <w:rsid w:val="00F41524"/>
    <w:rsid w:val="00F418C3"/>
    <w:rsid w:val="00F44DAF"/>
    <w:rsid w:val="00F455D3"/>
    <w:rsid w:val="00F477A6"/>
    <w:rsid w:val="00F5039F"/>
    <w:rsid w:val="00F5058F"/>
    <w:rsid w:val="00F51717"/>
    <w:rsid w:val="00F51B9D"/>
    <w:rsid w:val="00F51D7C"/>
    <w:rsid w:val="00F5390A"/>
    <w:rsid w:val="00F55D31"/>
    <w:rsid w:val="00F563F7"/>
    <w:rsid w:val="00F574E9"/>
    <w:rsid w:val="00F609F4"/>
    <w:rsid w:val="00F61096"/>
    <w:rsid w:val="00F62680"/>
    <w:rsid w:val="00F62DAF"/>
    <w:rsid w:val="00F636B3"/>
    <w:rsid w:val="00F64CF0"/>
    <w:rsid w:val="00F666EE"/>
    <w:rsid w:val="00F6770D"/>
    <w:rsid w:val="00F7106F"/>
    <w:rsid w:val="00F717A4"/>
    <w:rsid w:val="00F7219D"/>
    <w:rsid w:val="00F72E9A"/>
    <w:rsid w:val="00F73122"/>
    <w:rsid w:val="00F734B5"/>
    <w:rsid w:val="00F80DB4"/>
    <w:rsid w:val="00F81879"/>
    <w:rsid w:val="00F8743B"/>
    <w:rsid w:val="00F874CD"/>
    <w:rsid w:val="00F87692"/>
    <w:rsid w:val="00F901E6"/>
    <w:rsid w:val="00F9072E"/>
    <w:rsid w:val="00F928D4"/>
    <w:rsid w:val="00F941AC"/>
    <w:rsid w:val="00F943F8"/>
    <w:rsid w:val="00F94A81"/>
    <w:rsid w:val="00F94DC6"/>
    <w:rsid w:val="00F95518"/>
    <w:rsid w:val="00F95905"/>
    <w:rsid w:val="00F96304"/>
    <w:rsid w:val="00F9678C"/>
    <w:rsid w:val="00F96F91"/>
    <w:rsid w:val="00FA03EC"/>
    <w:rsid w:val="00FA07DA"/>
    <w:rsid w:val="00FA0A8E"/>
    <w:rsid w:val="00FA32BA"/>
    <w:rsid w:val="00FA40DA"/>
    <w:rsid w:val="00FA416F"/>
    <w:rsid w:val="00FA4E61"/>
    <w:rsid w:val="00FA76D9"/>
    <w:rsid w:val="00FA7D7B"/>
    <w:rsid w:val="00FB0F19"/>
    <w:rsid w:val="00FB18F7"/>
    <w:rsid w:val="00FB2307"/>
    <w:rsid w:val="00FB24A2"/>
    <w:rsid w:val="00FB51F4"/>
    <w:rsid w:val="00FB6A5E"/>
    <w:rsid w:val="00FB7518"/>
    <w:rsid w:val="00FB76DA"/>
    <w:rsid w:val="00FC011B"/>
    <w:rsid w:val="00FC1098"/>
    <w:rsid w:val="00FC34B3"/>
    <w:rsid w:val="00FC4940"/>
    <w:rsid w:val="00FC50EA"/>
    <w:rsid w:val="00FC66F4"/>
    <w:rsid w:val="00FC6D0F"/>
    <w:rsid w:val="00FC7C50"/>
    <w:rsid w:val="00FC7F0F"/>
    <w:rsid w:val="00FD0007"/>
    <w:rsid w:val="00FD1296"/>
    <w:rsid w:val="00FD1465"/>
    <w:rsid w:val="00FD34BD"/>
    <w:rsid w:val="00FD438A"/>
    <w:rsid w:val="00FD4785"/>
    <w:rsid w:val="00FD4C74"/>
    <w:rsid w:val="00FD5015"/>
    <w:rsid w:val="00FE1F5A"/>
    <w:rsid w:val="00FE2552"/>
    <w:rsid w:val="00FE2A61"/>
    <w:rsid w:val="00FE3606"/>
    <w:rsid w:val="00FE4677"/>
    <w:rsid w:val="00FE4846"/>
    <w:rsid w:val="00FF0D22"/>
    <w:rsid w:val="00FF38B8"/>
    <w:rsid w:val="00FF4B89"/>
    <w:rsid w:val="00FF4F70"/>
    <w:rsid w:val="00FF5ADA"/>
    <w:rsid w:val="00FF6A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45C881-7193-492A-BB04-ECCD1C672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818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413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4131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187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4131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41317"/>
    <w:rPr>
      <w:rFonts w:asciiTheme="majorHAnsi" w:eastAsiaTheme="majorEastAsia" w:hAnsiTheme="majorHAnsi" w:cstheme="majorBidi"/>
      <w:b/>
      <w:bCs/>
      <w:color w:val="4F81BD" w:themeColor="accent1"/>
    </w:rPr>
  </w:style>
  <w:style w:type="paragraph" w:styleId="ListParagraph">
    <w:name w:val="List Paragraph"/>
    <w:aliases w:val="sub de titre 4,ANNEX,List Paragraph1,kepala,Body Text Char1,Char Char2,List Paragraph2,TABEL,sub-section,Char Char21,Tabel,Butir - 2,List (Letter),Dot pt,F5 List Paragraph,List Paragraph Char Char Char,Indicator Text,susub,No tk3,Bullet 1"/>
    <w:basedOn w:val="Normal"/>
    <w:link w:val="ListParagraphChar"/>
    <w:uiPriority w:val="34"/>
    <w:qFormat/>
    <w:rsid w:val="00C01074"/>
    <w:pPr>
      <w:ind w:left="720"/>
      <w:contextualSpacing/>
    </w:pPr>
  </w:style>
  <w:style w:type="character" w:customStyle="1" w:styleId="ListParagraphChar">
    <w:name w:val="List Paragraph Char"/>
    <w:aliases w:val="sub de titre 4 Char,ANNEX Char,List Paragraph1 Char,kepala Char,Body Text Char1 Char,Char Char2 Char,List Paragraph2 Char,TABEL Char,sub-section Char,Char Char21 Char,Tabel Char,Butir - 2 Char,List (Letter) Char,Dot pt Char"/>
    <w:link w:val="ListParagraph"/>
    <w:uiPriority w:val="34"/>
    <w:qFormat/>
    <w:locked/>
    <w:rsid w:val="003F7AE3"/>
  </w:style>
  <w:style w:type="paragraph" w:styleId="DocumentMap">
    <w:name w:val="Document Map"/>
    <w:basedOn w:val="Normal"/>
    <w:link w:val="DocumentMapChar"/>
    <w:uiPriority w:val="99"/>
    <w:semiHidden/>
    <w:unhideWhenUsed/>
    <w:rsid w:val="002477C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477CC"/>
    <w:rPr>
      <w:rFonts w:ascii="Tahoma" w:hAnsi="Tahoma" w:cs="Tahoma"/>
      <w:sz w:val="16"/>
      <w:szCs w:val="16"/>
    </w:rPr>
  </w:style>
  <w:style w:type="character" w:styleId="Hyperlink">
    <w:name w:val="Hyperlink"/>
    <w:uiPriority w:val="99"/>
    <w:unhideWhenUsed/>
    <w:rsid w:val="003D69D2"/>
    <w:rPr>
      <w:color w:val="0000FF"/>
      <w:u w:val="single"/>
    </w:rPr>
  </w:style>
  <w:style w:type="paragraph" w:styleId="NormalWeb">
    <w:name w:val="Normal (Web)"/>
    <w:basedOn w:val="Normal"/>
    <w:uiPriority w:val="99"/>
    <w:unhideWhenUsed/>
    <w:rsid w:val="008632CF"/>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styleId="Header">
    <w:name w:val="header"/>
    <w:basedOn w:val="Normal"/>
    <w:link w:val="HeaderChar"/>
    <w:uiPriority w:val="99"/>
    <w:unhideWhenUsed/>
    <w:rsid w:val="006147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7C1"/>
  </w:style>
  <w:style w:type="paragraph" w:styleId="Footer">
    <w:name w:val="footer"/>
    <w:basedOn w:val="Normal"/>
    <w:link w:val="FooterChar"/>
    <w:uiPriority w:val="99"/>
    <w:unhideWhenUsed/>
    <w:rsid w:val="006147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7C1"/>
  </w:style>
  <w:style w:type="paragraph" w:styleId="BalloonText">
    <w:name w:val="Balloon Text"/>
    <w:basedOn w:val="Normal"/>
    <w:link w:val="BalloonTextChar"/>
    <w:uiPriority w:val="99"/>
    <w:semiHidden/>
    <w:unhideWhenUsed/>
    <w:rsid w:val="003E62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235"/>
    <w:rPr>
      <w:rFonts w:ascii="Tahoma" w:hAnsi="Tahoma" w:cs="Tahoma"/>
      <w:sz w:val="16"/>
      <w:szCs w:val="16"/>
    </w:rPr>
  </w:style>
  <w:style w:type="paragraph" w:styleId="BodyText">
    <w:name w:val="Body Text"/>
    <w:basedOn w:val="Normal"/>
    <w:link w:val="BodyTextChar"/>
    <w:rsid w:val="00C41317"/>
    <w:pPr>
      <w:spacing w:after="0" w:line="240" w:lineRule="auto"/>
    </w:pPr>
    <w:rPr>
      <w:rFonts w:ascii="Tahoma" w:eastAsia="Times New Roman" w:hAnsi="Tahoma" w:cs="Tahoma"/>
      <w:sz w:val="24"/>
      <w:szCs w:val="20"/>
      <w:lang w:val="id-ID"/>
    </w:rPr>
  </w:style>
  <w:style w:type="character" w:customStyle="1" w:styleId="BodyTextChar">
    <w:name w:val="Body Text Char"/>
    <w:basedOn w:val="DefaultParagraphFont"/>
    <w:link w:val="BodyText"/>
    <w:rsid w:val="00C41317"/>
    <w:rPr>
      <w:rFonts w:ascii="Tahoma" w:eastAsia="Times New Roman" w:hAnsi="Tahoma" w:cs="Tahoma"/>
      <w:sz w:val="24"/>
      <w:szCs w:val="20"/>
      <w:lang w:val="id-ID"/>
    </w:rPr>
  </w:style>
  <w:style w:type="table" w:styleId="TableGrid">
    <w:name w:val="Table Grid"/>
    <w:basedOn w:val="TableNormal"/>
    <w:uiPriority w:val="59"/>
    <w:rsid w:val="00C41317"/>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C41317"/>
    <w:pPr>
      <w:spacing w:after="0" w:line="240" w:lineRule="auto"/>
    </w:pPr>
    <w:rPr>
      <w:rFonts w:eastAsiaTheme="minorHAnsi"/>
    </w:rPr>
  </w:style>
  <w:style w:type="character" w:customStyle="1" w:styleId="NoSpacingChar">
    <w:name w:val="No Spacing Char"/>
    <w:link w:val="NoSpacing"/>
    <w:uiPriority w:val="1"/>
    <w:rsid w:val="00C41317"/>
    <w:rPr>
      <w:rFonts w:eastAsiaTheme="minorHAnsi"/>
    </w:rPr>
  </w:style>
  <w:style w:type="paragraph" w:customStyle="1" w:styleId="Default">
    <w:name w:val="Default"/>
    <w:rsid w:val="00C41317"/>
    <w:pPr>
      <w:autoSpaceDE w:val="0"/>
      <w:autoSpaceDN w:val="0"/>
      <w:adjustRightInd w:val="0"/>
      <w:spacing w:after="0" w:line="240" w:lineRule="auto"/>
    </w:pPr>
    <w:rPr>
      <w:rFonts w:ascii="Arial" w:eastAsia="Times New Roman" w:hAnsi="Arial" w:cs="Arial"/>
      <w:color w:val="000000"/>
      <w:sz w:val="24"/>
      <w:szCs w:val="24"/>
      <w:lang w:val="id-ID" w:eastAsia="id-ID"/>
    </w:rPr>
  </w:style>
  <w:style w:type="paragraph" w:customStyle="1" w:styleId="NomerOutline">
    <w:name w:val="NomerOutline"/>
    <w:basedOn w:val="Normal"/>
    <w:rsid w:val="00C41317"/>
    <w:pPr>
      <w:tabs>
        <w:tab w:val="num" w:pos="720"/>
      </w:tabs>
      <w:spacing w:after="0" w:line="360" w:lineRule="auto"/>
      <w:ind w:left="720" w:hanging="360"/>
      <w:jc w:val="both"/>
    </w:pPr>
    <w:rPr>
      <w:rFonts w:ascii="Trebuchet MS" w:eastAsia="Times New Roman" w:hAnsi="Trebuchet MS" w:cs="Times New Roman"/>
      <w:szCs w:val="24"/>
    </w:rPr>
  </w:style>
  <w:style w:type="character" w:styleId="Strong">
    <w:name w:val="Strong"/>
    <w:basedOn w:val="DefaultParagraphFont"/>
    <w:uiPriority w:val="22"/>
    <w:qFormat/>
    <w:rsid w:val="00C41317"/>
    <w:rPr>
      <w:b/>
      <w:bCs/>
    </w:rPr>
  </w:style>
  <w:style w:type="character" w:styleId="FollowedHyperlink">
    <w:name w:val="FollowedHyperlink"/>
    <w:basedOn w:val="DefaultParagraphFont"/>
    <w:uiPriority w:val="99"/>
    <w:semiHidden/>
    <w:unhideWhenUsed/>
    <w:rsid w:val="00C41317"/>
    <w:rPr>
      <w:color w:val="800080"/>
      <w:u w:val="single"/>
    </w:rPr>
  </w:style>
  <w:style w:type="character" w:styleId="PageNumber">
    <w:name w:val="page number"/>
    <w:basedOn w:val="DefaultParagraphFont"/>
    <w:rsid w:val="00C41317"/>
  </w:style>
  <w:style w:type="character" w:styleId="FootnoteReference">
    <w:name w:val="footnote reference"/>
    <w:semiHidden/>
    <w:rsid w:val="00C41317"/>
    <w:rPr>
      <w:vertAlign w:val="superscript"/>
    </w:rPr>
  </w:style>
  <w:style w:type="paragraph" w:styleId="Title">
    <w:name w:val="Title"/>
    <w:basedOn w:val="Normal"/>
    <w:link w:val="TitleChar"/>
    <w:qFormat/>
    <w:rsid w:val="00C41317"/>
    <w:pPr>
      <w:spacing w:after="0" w:line="240" w:lineRule="auto"/>
      <w:jc w:val="center"/>
    </w:pPr>
    <w:rPr>
      <w:rFonts w:ascii="Times New Roman" w:eastAsia="Times New Roman" w:hAnsi="Times New Roman" w:cs="Times New Roman"/>
      <w:sz w:val="28"/>
      <w:szCs w:val="24"/>
      <w:lang w:val="x-none" w:eastAsia="x-none"/>
    </w:rPr>
  </w:style>
  <w:style w:type="character" w:customStyle="1" w:styleId="TitleChar">
    <w:name w:val="Title Char"/>
    <w:basedOn w:val="DefaultParagraphFont"/>
    <w:link w:val="Title"/>
    <w:rsid w:val="00C41317"/>
    <w:rPr>
      <w:rFonts w:ascii="Times New Roman" w:eastAsia="Times New Roman" w:hAnsi="Times New Roman" w:cs="Times New Roman"/>
      <w:sz w:val="28"/>
      <w:szCs w:val="24"/>
      <w:lang w:val="x-none" w:eastAsia="x-none"/>
    </w:rPr>
  </w:style>
  <w:style w:type="paragraph" w:customStyle="1" w:styleId="H2">
    <w:name w:val="H2"/>
    <w:basedOn w:val="Normal"/>
    <w:autoRedefine/>
    <w:rsid w:val="00C41317"/>
    <w:pPr>
      <w:keepNext/>
      <w:tabs>
        <w:tab w:val="left" w:pos="0"/>
      </w:tabs>
      <w:spacing w:before="120" w:after="0" w:line="240" w:lineRule="auto"/>
      <w:jc w:val="both"/>
      <w:outlineLvl w:val="1"/>
    </w:pPr>
    <w:rPr>
      <w:rFonts w:ascii="Times New Roman" w:eastAsia="Times New Roman" w:hAnsi="Times New Roman" w:cs="Times New Roman"/>
      <w:b/>
      <w:bCs/>
      <w:sz w:val="24"/>
      <w:szCs w:val="24"/>
      <w:lang w:val="id-ID"/>
    </w:rPr>
  </w:style>
  <w:style w:type="paragraph" w:customStyle="1" w:styleId="SenderAddress">
    <w:name w:val="Sender Address"/>
    <w:uiPriority w:val="2"/>
    <w:rsid w:val="00C41317"/>
    <w:pPr>
      <w:spacing w:after="0" w:line="240" w:lineRule="auto"/>
    </w:pPr>
    <w:rPr>
      <w:rFonts w:ascii="Century Gothic" w:eastAsia="Century Gothic" w:hAnsi="Century Gothic" w:cs="Tahoma"/>
      <w:color w:val="93A299"/>
      <w:sz w:val="18"/>
    </w:rPr>
  </w:style>
  <w:style w:type="character" w:customStyle="1" w:styleId="hps">
    <w:name w:val="hps"/>
    <w:rsid w:val="00C41317"/>
  </w:style>
  <w:style w:type="character" w:customStyle="1" w:styleId="atn">
    <w:name w:val="atn"/>
    <w:rsid w:val="00C41317"/>
  </w:style>
  <w:style w:type="character" w:customStyle="1" w:styleId="alt-edited">
    <w:name w:val="alt-edited"/>
    <w:rsid w:val="00C41317"/>
  </w:style>
  <w:style w:type="paragraph" w:styleId="BodyTextIndent">
    <w:name w:val="Body Text Indent"/>
    <w:basedOn w:val="Normal"/>
    <w:link w:val="BodyTextIndentChar"/>
    <w:uiPriority w:val="99"/>
    <w:semiHidden/>
    <w:unhideWhenUsed/>
    <w:rsid w:val="009970CD"/>
    <w:pPr>
      <w:spacing w:after="120"/>
      <w:ind w:left="360"/>
    </w:pPr>
  </w:style>
  <w:style w:type="character" w:customStyle="1" w:styleId="BodyTextIndentChar">
    <w:name w:val="Body Text Indent Char"/>
    <w:basedOn w:val="DefaultParagraphFont"/>
    <w:link w:val="BodyTextIndent"/>
    <w:uiPriority w:val="99"/>
    <w:semiHidden/>
    <w:rsid w:val="009970CD"/>
  </w:style>
  <w:style w:type="paragraph" w:styleId="TOCHeading">
    <w:name w:val="TOC Heading"/>
    <w:basedOn w:val="Heading1"/>
    <w:next w:val="Normal"/>
    <w:uiPriority w:val="39"/>
    <w:semiHidden/>
    <w:unhideWhenUsed/>
    <w:qFormat/>
    <w:rsid w:val="00100CCA"/>
    <w:pPr>
      <w:outlineLvl w:val="9"/>
    </w:pPr>
    <w:rPr>
      <w:lang w:eastAsia="ja-JP"/>
    </w:rPr>
  </w:style>
  <w:style w:type="paragraph" w:styleId="TOC1">
    <w:name w:val="toc 1"/>
    <w:basedOn w:val="Normal"/>
    <w:next w:val="Normal"/>
    <w:autoRedefine/>
    <w:uiPriority w:val="39"/>
    <w:unhideWhenUsed/>
    <w:rsid w:val="00100CCA"/>
    <w:pPr>
      <w:spacing w:after="100"/>
    </w:pPr>
  </w:style>
  <w:style w:type="paragraph" w:styleId="TOC2">
    <w:name w:val="toc 2"/>
    <w:basedOn w:val="Normal"/>
    <w:next w:val="Normal"/>
    <w:autoRedefine/>
    <w:uiPriority w:val="39"/>
    <w:unhideWhenUsed/>
    <w:rsid w:val="00100CCA"/>
    <w:pPr>
      <w:spacing w:after="100"/>
      <w:ind w:left="220"/>
    </w:pPr>
  </w:style>
  <w:style w:type="paragraph" w:styleId="Caption">
    <w:name w:val="caption"/>
    <w:basedOn w:val="Normal"/>
    <w:next w:val="Normal"/>
    <w:uiPriority w:val="35"/>
    <w:unhideWhenUsed/>
    <w:qFormat/>
    <w:rsid w:val="000E4FC8"/>
    <w:pPr>
      <w:spacing w:line="240" w:lineRule="auto"/>
    </w:pPr>
    <w:rPr>
      <w:b/>
      <w:bCs/>
      <w:color w:val="4F81BD" w:themeColor="accent1"/>
      <w:sz w:val="18"/>
      <w:szCs w:val="18"/>
    </w:rPr>
  </w:style>
  <w:style w:type="paragraph" w:styleId="TOC3">
    <w:name w:val="toc 3"/>
    <w:basedOn w:val="Normal"/>
    <w:next w:val="Normal"/>
    <w:autoRedefine/>
    <w:uiPriority w:val="39"/>
    <w:unhideWhenUsed/>
    <w:rsid w:val="007E204E"/>
    <w:pPr>
      <w:tabs>
        <w:tab w:val="left" w:pos="1320"/>
        <w:tab w:val="right" w:leader="dot" w:pos="8212"/>
      </w:tabs>
      <w:spacing w:after="100"/>
      <w:ind w:left="440"/>
    </w:pPr>
    <w:rPr>
      <w:rFonts w:ascii="Arial" w:eastAsiaTheme="majorEastAsia" w:hAnsi="Arial" w:cs="Arial"/>
      <w:bCs/>
      <w:noProof/>
      <w:sz w:val="24"/>
      <w:szCs w:val="24"/>
    </w:rPr>
  </w:style>
  <w:style w:type="paragraph" w:styleId="TableofFigures">
    <w:name w:val="table of figures"/>
    <w:basedOn w:val="Normal"/>
    <w:next w:val="Normal"/>
    <w:uiPriority w:val="99"/>
    <w:unhideWhenUsed/>
    <w:rsid w:val="00E0158B"/>
    <w:pPr>
      <w:spacing w:after="0"/>
    </w:pPr>
  </w:style>
  <w:style w:type="paragraph" w:customStyle="1" w:styleId="xl82">
    <w:name w:val="xl82"/>
    <w:basedOn w:val="Normal"/>
    <w:rsid w:val="00031A80"/>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3">
    <w:name w:val="xl83"/>
    <w:basedOn w:val="Normal"/>
    <w:rsid w:val="00031A8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Normal"/>
    <w:rsid w:val="00031A8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5">
    <w:name w:val="xl85"/>
    <w:basedOn w:val="Normal"/>
    <w:rsid w:val="00031A80"/>
    <w:pPr>
      <w:shd w:val="clear" w:color="000000" w:fill="A9D08E"/>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6">
    <w:name w:val="xl86"/>
    <w:basedOn w:val="Normal"/>
    <w:rsid w:val="00031A80"/>
    <w:pPr>
      <w:shd w:val="clear" w:color="000000" w:fill="F8CBAD"/>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7">
    <w:name w:val="xl87"/>
    <w:basedOn w:val="Normal"/>
    <w:rsid w:val="00031A80"/>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8">
    <w:name w:val="xl88"/>
    <w:basedOn w:val="Normal"/>
    <w:rsid w:val="00031A8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
    <w:name w:val="xl89"/>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Normal"/>
    <w:rsid w:val="00031A80"/>
    <w:pPr>
      <w:pBdr>
        <w:top w:val="single" w:sz="8" w:space="0" w:color="auto"/>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2">
    <w:name w:val="xl92"/>
    <w:basedOn w:val="Normal"/>
    <w:rsid w:val="00031A80"/>
    <w:pPr>
      <w:pBdr>
        <w:top w:val="single" w:sz="8" w:space="0" w:color="auto"/>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Normal"/>
    <w:rsid w:val="00031A80"/>
    <w:pPr>
      <w:pBdr>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Normal"/>
    <w:rsid w:val="00031A80"/>
    <w:pPr>
      <w:pBdr>
        <w:top w:val="single" w:sz="8" w:space="0" w:color="auto"/>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Normal"/>
    <w:rsid w:val="00031A80"/>
    <w:pPr>
      <w:pBdr>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Normal"/>
    <w:rsid w:val="00031A80"/>
    <w:pPr>
      <w:pBdr>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Normal"/>
    <w:rsid w:val="00031A80"/>
    <w:pPr>
      <w:pBdr>
        <w:top w:val="single" w:sz="8" w:space="0" w:color="auto"/>
        <w:left w:val="single" w:sz="8" w:space="14" w:color="auto"/>
        <w:right w:val="single" w:sz="8" w:space="0" w:color="auto"/>
      </w:pBdr>
      <w:shd w:val="clear" w:color="000000" w:fill="B4C6E7"/>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rPr>
  </w:style>
  <w:style w:type="paragraph" w:customStyle="1" w:styleId="xl98">
    <w:name w:val="xl98"/>
    <w:basedOn w:val="Normal"/>
    <w:rsid w:val="00031A80"/>
    <w:pPr>
      <w:pBdr>
        <w:top w:val="single" w:sz="8" w:space="0" w:color="auto"/>
        <w:left w:val="single" w:sz="8" w:space="7" w:color="auto"/>
        <w:right w:val="single" w:sz="8" w:space="0" w:color="auto"/>
      </w:pBdr>
      <w:shd w:val="clear" w:color="000000" w:fill="B4C6E7"/>
      <w:spacing w:before="100" w:beforeAutospacing="1" w:after="100" w:afterAutospacing="1" w:line="240" w:lineRule="auto"/>
      <w:ind w:firstLineChars="100" w:firstLine="100"/>
      <w:textAlignment w:val="center"/>
    </w:pPr>
    <w:rPr>
      <w:rFonts w:ascii="Times New Roman" w:eastAsia="Times New Roman" w:hAnsi="Times New Roman" w:cs="Times New Roman"/>
      <w:sz w:val="20"/>
      <w:szCs w:val="20"/>
    </w:rPr>
  </w:style>
  <w:style w:type="paragraph" w:customStyle="1" w:styleId="xl99">
    <w:name w:val="xl99"/>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3">
    <w:name w:val="xl103"/>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4">
    <w:name w:val="xl104"/>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5">
    <w:name w:val="xl105"/>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6">
    <w:name w:val="xl106"/>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8">
    <w:name w:val="xl108"/>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9">
    <w:name w:val="xl109"/>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0">
    <w:name w:val="xl110"/>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1">
    <w:name w:val="xl111"/>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2">
    <w:name w:val="xl112"/>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3">
    <w:name w:val="xl113"/>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14">
    <w:name w:val="xl114"/>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15">
    <w:name w:val="xl115"/>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17">
    <w:name w:val="xl117"/>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8">
    <w:name w:val="xl118"/>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9">
    <w:name w:val="xl119"/>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20">
    <w:name w:val="xl120"/>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1">
    <w:name w:val="xl121"/>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table" w:customStyle="1" w:styleId="TableGrid1">
    <w:name w:val="Table Grid1"/>
    <w:basedOn w:val="TableNormal"/>
    <w:next w:val="TableGrid"/>
    <w:uiPriority w:val="59"/>
    <w:rsid w:val="002861D3"/>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76172">
      <w:bodyDiv w:val="1"/>
      <w:marLeft w:val="0"/>
      <w:marRight w:val="0"/>
      <w:marTop w:val="0"/>
      <w:marBottom w:val="0"/>
      <w:divBdr>
        <w:top w:val="none" w:sz="0" w:space="0" w:color="auto"/>
        <w:left w:val="none" w:sz="0" w:space="0" w:color="auto"/>
        <w:bottom w:val="none" w:sz="0" w:space="0" w:color="auto"/>
        <w:right w:val="none" w:sz="0" w:space="0" w:color="auto"/>
      </w:divBdr>
    </w:div>
    <w:div w:id="183180487">
      <w:bodyDiv w:val="1"/>
      <w:marLeft w:val="0"/>
      <w:marRight w:val="0"/>
      <w:marTop w:val="0"/>
      <w:marBottom w:val="0"/>
      <w:divBdr>
        <w:top w:val="none" w:sz="0" w:space="0" w:color="auto"/>
        <w:left w:val="none" w:sz="0" w:space="0" w:color="auto"/>
        <w:bottom w:val="none" w:sz="0" w:space="0" w:color="auto"/>
        <w:right w:val="none" w:sz="0" w:space="0" w:color="auto"/>
      </w:divBdr>
    </w:div>
    <w:div w:id="220336533">
      <w:bodyDiv w:val="1"/>
      <w:marLeft w:val="0"/>
      <w:marRight w:val="0"/>
      <w:marTop w:val="0"/>
      <w:marBottom w:val="0"/>
      <w:divBdr>
        <w:top w:val="none" w:sz="0" w:space="0" w:color="auto"/>
        <w:left w:val="none" w:sz="0" w:space="0" w:color="auto"/>
        <w:bottom w:val="none" w:sz="0" w:space="0" w:color="auto"/>
        <w:right w:val="none" w:sz="0" w:space="0" w:color="auto"/>
      </w:divBdr>
    </w:div>
    <w:div w:id="221987653">
      <w:bodyDiv w:val="1"/>
      <w:marLeft w:val="0"/>
      <w:marRight w:val="0"/>
      <w:marTop w:val="0"/>
      <w:marBottom w:val="0"/>
      <w:divBdr>
        <w:top w:val="none" w:sz="0" w:space="0" w:color="auto"/>
        <w:left w:val="none" w:sz="0" w:space="0" w:color="auto"/>
        <w:bottom w:val="none" w:sz="0" w:space="0" w:color="auto"/>
        <w:right w:val="none" w:sz="0" w:space="0" w:color="auto"/>
      </w:divBdr>
    </w:div>
    <w:div w:id="245770560">
      <w:bodyDiv w:val="1"/>
      <w:marLeft w:val="0"/>
      <w:marRight w:val="0"/>
      <w:marTop w:val="0"/>
      <w:marBottom w:val="0"/>
      <w:divBdr>
        <w:top w:val="none" w:sz="0" w:space="0" w:color="auto"/>
        <w:left w:val="none" w:sz="0" w:space="0" w:color="auto"/>
        <w:bottom w:val="none" w:sz="0" w:space="0" w:color="auto"/>
        <w:right w:val="none" w:sz="0" w:space="0" w:color="auto"/>
      </w:divBdr>
    </w:div>
    <w:div w:id="266474536">
      <w:bodyDiv w:val="1"/>
      <w:marLeft w:val="0"/>
      <w:marRight w:val="0"/>
      <w:marTop w:val="0"/>
      <w:marBottom w:val="0"/>
      <w:divBdr>
        <w:top w:val="none" w:sz="0" w:space="0" w:color="auto"/>
        <w:left w:val="none" w:sz="0" w:space="0" w:color="auto"/>
        <w:bottom w:val="none" w:sz="0" w:space="0" w:color="auto"/>
        <w:right w:val="none" w:sz="0" w:space="0" w:color="auto"/>
      </w:divBdr>
    </w:div>
    <w:div w:id="278802904">
      <w:bodyDiv w:val="1"/>
      <w:marLeft w:val="0"/>
      <w:marRight w:val="0"/>
      <w:marTop w:val="0"/>
      <w:marBottom w:val="0"/>
      <w:divBdr>
        <w:top w:val="none" w:sz="0" w:space="0" w:color="auto"/>
        <w:left w:val="none" w:sz="0" w:space="0" w:color="auto"/>
        <w:bottom w:val="none" w:sz="0" w:space="0" w:color="auto"/>
        <w:right w:val="none" w:sz="0" w:space="0" w:color="auto"/>
      </w:divBdr>
    </w:div>
    <w:div w:id="289017133">
      <w:bodyDiv w:val="1"/>
      <w:marLeft w:val="0"/>
      <w:marRight w:val="0"/>
      <w:marTop w:val="0"/>
      <w:marBottom w:val="0"/>
      <w:divBdr>
        <w:top w:val="none" w:sz="0" w:space="0" w:color="auto"/>
        <w:left w:val="none" w:sz="0" w:space="0" w:color="auto"/>
        <w:bottom w:val="none" w:sz="0" w:space="0" w:color="auto"/>
        <w:right w:val="none" w:sz="0" w:space="0" w:color="auto"/>
      </w:divBdr>
    </w:div>
    <w:div w:id="306715124">
      <w:bodyDiv w:val="1"/>
      <w:marLeft w:val="0"/>
      <w:marRight w:val="0"/>
      <w:marTop w:val="0"/>
      <w:marBottom w:val="0"/>
      <w:divBdr>
        <w:top w:val="none" w:sz="0" w:space="0" w:color="auto"/>
        <w:left w:val="none" w:sz="0" w:space="0" w:color="auto"/>
        <w:bottom w:val="none" w:sz="0" w:space="0" w:color="auto"/>
        <w:right w:val="none" w:sz="0" w:space="0" w:color="auto"/>
      </w:divBdr>
    </w:div>
    <w:div w:id="309867928">
      <w:bodyDiv w:val="1"/>
      <w:marLeft w:val="0"/>
      <w:marRight w:val="0"/>
      <w:marTop w:val="0"/>
      <w:marBottom w:val="0"/>
      <w:divBdr>
        <w:top w:val="none" w:sz="0" w:space="0" w:color="auto"/>
        <w:left w:val="none" w:sz="0" w:space="0" w:color="auto"/>
        <w:bottom w:val="none" w:sz="0" w:space="0" w:color="auto"/>
        <w:right w:val="none" w:sz="0" w:space="0" w:color="auto"/>
      </w:divBdr>
    </w:div>
    <w:div w:id="369493889">
      <w:bodyDiv w:val="1"/>
      <w:marLeft w:val="0"/>
      <w:marRight w:val="0"/>
      <w:marTop w:val="0"/>
      <w:marBottom w:val="0"/>
      <w:divBdr>
        <w:top w:val="none" w:sz="0" w:space="0" w:color="auto"/>
        <w:left w:val="none" w:sz="0" w:space="0" w:color="auto"/>
        <w:bottom w:val="none" w:sz="0" w:space="0" w:color="auto"/>
        <w:right w:val="none" w:sz="0" w:space="0" w:color="auto"/>
      </w:divBdr>
    </w:div>
    <w:div w:id="399835370">
      <w:bodyDiv w:val="1"/>
      <w:marLeft w:val="0"/>
      <w:marRight w:val="0"/>
      <w:marTop w:val="0"/>
      <w:marBottom w:val="0"/>
      <w:divBdr>
        <w:top w:val="none" w:sz="0" w:space="0" w:color="auto"/>
        <w:left w:val="none" w:sz="0" w:space="0" w:color="auto"/>
        <w:bottom w:val="none" w:sz="0" w:space="0" w:color="auto"/>
        <w:right w:val="none" w:sz="0" w:space="0" w:color="auto"/>
      </w:divBdr>
    </w:div>
    <w:div w:id="429618292">
      <w:bodyDiv w:val="1"/>
      <w:marLeft w:val="0"/>
      <w:marRight w:val="0"/>
      <w:marTop w:val="0"/>
      <w:marBottom w:val="0"/>
      <w:divBdr>
        <w:top w:val="none" w:sz="0" w:space="0" w:color="auto"/>
        <w:left w:val="none" w:sz="0" w:space="0" w:color="auto"/>
        <w:bottom w:val="none" w:sz="0" w:space="0" w:color="auto"/>
        <w:right w:val="none" w:sz="0" w:space="0" w:color="auto"/>
      </w:divBdr>
    </w:div>
    <w:div w:id="531652151">
      <w:bodyDiv w:val="1"/>
      <w:marLeft w:val="0"/>
      <w:marRight w:val="0"/>
      <w:marTop w:val="0"/>
      <w:marBottom w:val="0"/>
      <w:divBdr>
        <w:top w:val="none" w:sz="0" w:space="0" w:color="auto"/>
        <w:left w:val="none" w:sz="0" w:space="0" w:color="auto"/>
        <w:bottom w:val="none" w:sz="0" w:space="0" w:color="auto"/>
        <w:right w:val="none" w:sz="0" w:space="0" w:color="auto"/>
      </w:divBdr>
    </w:div>
    <w:div w:id="544221395">
      <w:bodyDiv w:val="1"/>
      <w:marLeft w:val="0"/>
      <w:marRight w:val="0"/>
      <w:marTop w:val="0"/>
      <w:marBottom w:val="0"/>
      <w:divBdr>
        <w:top w:val="none" w:sz="0" w:space="0" w:color="auto"/>
        <w:left w:val="none" w:sz="0" w:space="0" w:color="auto"/>
        <w:bottom w:val="none" w:sz="0" w:space="0" w:color="auto"/>
        <w:right w:val="none" w:sz="0" w:space="0" w:color="auto"/>
      </w:divBdr>
    </w:div>
    <w:div w:id="586352796">
      <w:bodyDiv w:val="1"/>
      <w:marLeft w:val="0"/>
      <w:marRight w:val="0"/>
      <w:marTop w:val="0"/>
      <w:marBottom w:val="0"/>
      <w:divBdr>
        <w:top w:val="none" w:sz="0" w:space="0" w:color="auto"/>
        <w:left w:val="none" w:sz="0" w:space="0" w:color="auto"/>
        <w:bottom w:val="none" w:sz="0" w:space="0" w:color="auto"/>
        <w:right w:val="none" w:sz="0" w:space="0" w:color="auto"/>
      </w:divBdr>
    </w:div>
    <w:div w:id="658273082">
      <w:bodyDiv w:val="1"/>
      <w:marLeft w:val="0"/>
      <w:marRight w:val="0"/>
      <w:marTop w:val="0"/>
      <w:marBottom w:val="0"/>
      <w:divBdr>
        <w:top w:val="none" w:sz="0" w:space="0" w:color="auto"/>
        <w:left w:val="none" w:sz="0" w:space="0" w:color="auto"/>
        <w:bottom w:val="none" w:sz="0" w:space="0" w:color="auto"/>
        <w:right w:val="none" w:sz="0" w:space="0" w:color="auto"/>
      </w:divBdr>
    </w:div>
    <w:div w:id="669673917">
      <w:bodyDiv w:val="1"/>
      <w:marLeft w:val="0"/>
      <w:marRight w:val="0"/>
      <w:marTop w:val="0"/>
      <w:marBottom w:val="0"/>
      <w:divBdr>
        <w:top w:val="none" w:sz="0" w:space="0" w:color="auto"/>
        <w:left w:val="none" w:sz="0" w:space="0" w:color="auto"/>
        <w:bottom w:val="none" w:sz="0" w:space="0" w:color="auto"/>
        <w:right w:val="none" w:sz="0" w:space="0" w:color="auto"/>
      </w:divBdr>
    </w:div>
    <w:div w:id="726681444">
      <w:bodyDiv w:val="1"/>
      <w:marLeft w:val="0"/>
      <w:marRight w:val="0"/>
      <w:marTop w:val="0"/>
      <w:marBottom w:val="0"/>
      <w:divBdr>
        <w:top w:val="none" w:sz="0" w:space="0" w:color="auto"/>
        <w:left w:val="none" w:sz="0" w:space="0" w:color="auto"/>
        <w:bottom w:val="none" w:sz="0" w:space="0" w:color="auto"/>
        <w:right w:val="none" w:sz="0" w:space="0" w:color="auto"/>
      </w:divBdr>
    </w:div>
    <w:div w:id="741440944">
      <w:bodyDiv w:val="1"/>
      <w:marLeft w:val="0"/>
      <w:marRight w:val="0"/>
      <w:marTop w:val="0"/>
      <w:marBottom w:val="0"/>
      <w:divBdr>
        <w:top w:val="none" w:sz="0" w:space="0" w:color="auto"/>
        <w:left w:val="none" w:sz="0" w:space="0" w:color="auto"/>
        <w:bottom w:val="none" w:sz="0" w:space="0" w:color="auto"/>
        <w:right w:val="none" w:sz="0" w:space="0" w:color="auto"/>
      </w:divBdr>
    </w:div>
    <w:div w:id="765929071">
      <w:bodyDiv w:val="1"/>
      <w:marLeft w:val="0"/>
      <w:marRight w:val="0"/>
      <w:marTop w:val="0"/>
      <w:marBottom w:val="0"/>
      <w:divBdr>
        <w:top w:val="none" w:sz="0" w:space="0" w:color="auto"/>
        <w:left w:val="none" w:sz="0" w:space="0" w:color="auto"/>
        <w:bottom w:val="none" w:sz="0" w:space="0" w:color="auto"/>
        <w:right w:val="none" w:sz="0" w:space="0" w:color="auto"/>
      </w:divBdr>
    </w:div>
    <w:div w:id="772625790">
      <w:bodyDiv w:val="1"/>
      <w:marLeft w:val="0"/>
      <w:marRight w:val="0"/>
      <w:marTop w:val="0"/>
      <w:marBottom w:val="0"/>
      <w:divBdr>
        <w:top w:val="none" w:sz="0" w:space="0" w:color="auto"/>
        <w:left w:val="none" w:sz="0" w:space="0" w:color="auto"/>
        <w:bottom w:val="none" w:sz="0" w:space="0" w:color="auto"/>
        <w:right w:val="none" w:sz="0" w:space="0" w:color="auto"/>
      </w:divBdr>
    </w:div>
    <w:div w:id="783378525">
      <w:bodyDiv w:val="1"/>
      <w:marLeft w:val="0"/>
      <w:marRight w:val="0"/>
      <w:marTop w:val="0"/>
      <w:marBottom w:val="0"/>
      <w:divBdr>
        <w:top w:val="none" w:sz="0" w:space="0" w:color="auto"/>
        <w:left w:val="none" w:sz="0" w:space="0" w:color="auto"/>
        <w:bottom w:val="none" w:sz="0" w:space="0" w:color="auto"/>
        <w:right w:val="none" w:sz="0" w:space="0" w:color="auto"/>
      </w:divBdr>
    </w:div>
    <w:div w:id="785926097">
      <w:bodyDiv w:val="1"/>
      <w:marLeft w:val="0"/>
      <w:marRight w:val="0"/>
      <w:marTop w:val="0"/>
      <w:marBottom w:val="0"/>
      <w:divBdr>
        <w:top w:val="none" w:sz="0" w:space="0" w:color="auto"/>
        <w:left w:val="none" w:sz="0" w:space="0" w:color="auto"/>
        <w:bottom w:val="none" w:sz="0" w:space="0" w:color="auto"/>
        <w:right w:val="none" w:sz="0" w:space="0" w:color="auto"/>
      </w:divBdr>
    </w:div>
    <w:div w:id="795678140">
      <w:bodyDiv w:val="1"/>
      <w:marLeft w:val="0"/>
      <w:marRight w:val="0"/>
      <w:marTop w:val="0"/>
      <w:marBottom w:val="0"/>
      <w:divBdr>
        <w:top w:val="none" w:sz="0" w:space="0" w:color="auto"/>
        <w:left w:val="none" w:sz="0" w:space="0" w:color="auto"/>
        <w:bottom w:val="none" w:sz="0" w:space="0" w:color="auto"/>
        <w:right w:val="none" w:sz="0" w:space="0" w:color="auto"/>
      </w:divBdr>
    </w:div>
    <w:div w:id="802313462">
      <w:bodyDiv w:val="1"/>
      <w:marLeft w:val="0"/>
      <w:marRight w:val="0"/>
      <w:marTop w:val="0"/>
      <w:marBottom w:val="0"/>
      <w:divBdr>
        <w:top w:val="none" w:sz="0" w:space="0" w:color="auto"/>
        <w:left w:val="none" w:sz="0" w:space="0" w:color="auto"/>
        <w:bottom w:val="none" w:sz="0" w:space="0" w:color="auto"/>
        <w:right w:val="none" w:sz="0" w:space="0" w:color="auto"/>
      </w:divBdr>
    </w:div>
    <w:div w:id="818570703">
      <w:bodyDiv w:val="1"/>
      <w:marLeft w:val="0"/>
      <w:marRight w:val="0"/>
      <w:marTop w:val="0"/>
      <w:marBottom w:val="0"/>
      <w:divBdr>
        <w:top w:val="none" w:sz="0" w:space="0" w:color="auto"/>
        <w:left w:val="none" w:sz="0" w:space="0" w:color="auto"/>
        <w:bottom w:val="none" w:sz="0" w:space="0" w:color="auto"/>
        <w:right w:val="none" w:sz="0" w:space="0" w:color="auto"/>
      </w:divBdr>
    </w:div>
    <w:div w:id="884412128">
      <w:bodyDiv w:val="1"/>
      <w:marLeft w:val="0"/>
      <w:marRight w:val="0"/>
      <w:marTop w:val="0"/>
      <w:marBottom w:val="0"/>
      <w:divBdr>
        <w:top w:val="none" w:sz="0" w:space="0" w:color="auto"/>
        <w:left w:val="none" w:sz="0" w:space="0" w:color="auto"/>
        <w:bottom w:val="none" w:sz="0" w:space="0" w:color="auto"/>
        <w:right w:val="none" w:sz="0" w:space="0" w:color="auto"/>
      </w:divBdr>
    </w:div>
    <w:div w:id="916019948">
      <w:bodyDiv w:val="1"/>
      <w:marLeft w:val="0"/>
      <w:marRight w:val="0"/>
      <w:marTop w:val="0"/>
      <w:marBottom w:val="0"/>
      <w:divBdr>
        <w:top w:val="none" w:sz="0" w:space="0" w:color="auto"/>
        <w:left w:val="none" w:sz="0" w:space="0" w:color="auto"/>
        <w:bottom w:val="none" w:sz="0" w:space="0" w:color="auto"/>
        <w:right w:val="none" w:sz="0" w:space="0" w:color="auto"/>
      </w:divBdr>
    </w:div>
    <w:div w:id="919406237">
      <w:bodyDiv w:val="1"/>
      <w:marLeft w:val="0"/>
      <w:marRight w:val="0"/>
      <w:marTop w:val="0"/>
      <w:marBottom w:val="0"/>
      <w:divBdr>
        <w:top w:val="none" w:sz="0" w:space="0" w:color="auto"/>
        <w:left w:val="none" w:sz="0" w:space="0" w:color="auto"/>
        <w:bottom w:val="none" w:sz="0" w:space="0" w:color="auto"/>
        <w:right w:val="none" w:sz="0" w:space="0" w:color="auto"/>
      </w:divBdr>
    </w:div>
    <w:div w:id="925190640">
      <w:bodyDiv w:val="1"/>
      <w:marLeft w:val="0"/>
      <w:marRight w:val="0"/>
      <w:marTop w:val="0"/>
      <w:marBottom w:val="0"/>
      <w:divBdr>
        <w:top w:val="none" w:sz="0" w:space="0" w:color="auto"/>
        <w:left w:val="none" w:sz="0" w:space="0" w:color="auto"/>
        <w:bottom w:val="none" w:sz="0" w:space="0" w:color="auto"/>
        <w:right w:val="none" w:sz="0" w:space="0" w:color="auto"/>
      </w:divBdr>
    </w:div>
    <w:div w:id="964386656">
      <w:bodyDiv w:val="1"/>
      <w:marLeft w:val="0"/>
      <w:marRight w:val="0"/>
      <w:marTop w:val="0"/>
      <w:marBottom w:val="0"/>
      <w:divBdr>
        <w:top w:val="none" w:sz="0" w:space="0" w:color="auto"/>
        <w:left w:val="none" w:sz="0" w:space="0" w:color="auto"/>
        <w:bottom w:val="none" w:sz="0" w:space="0" w:color="auto"/>
        <w:right w:val="none" w:sz="0" w:space="0" w:color="auto"/>
      </w:divBdr>
    </w:div>
    <w:div w:id="1020007121">
      <w:bodyDiv w:val="1"/>
      <w:marLeft w:val="0"/>
      <w:marRight w:val="0"/>
      <w:marTop w:val="0"/>
      <w:marBottom w:val="0"/>
      <w:divBdr>
        <w:top w:val="none" w:sz="0" w:space="0" w:color="auto"/>
        <w:left w:val="none" w:sz="0" w:space="0" w:color="auto"/>
        <w:bottom w:val="none" w:sz="0" w:space="0" w:color="auto"/>
        <w:right w:val="none" w:sz="0" w:space="0" w:color="auto"/>
      </w:divBdr>
    </w:div>
    <w:div w:id="1031341035">
      <w:bodyDiv w:val="1"/>
      <w:marLeft w:val="0"/>
      <w:marRight w:val="0"/>
      <w:marTop w:val="0"/>
      <w:marBottom w:val="0"/>
      <w:divBdr>
        <w:top w:val="none" w:sz="0" w:space="0" w:color="auto"/>
        <w:left w:val="none" w:sz="0" w:space="0" w:color="auto"/>
        <w:bottom w:val="none" w:sz="0" w:space="0" w:color="auto"/>
        <w:right w:val="none" w:sz="0" w:space="0" w:color="auto"/>
      </w:divBdr>
    </w:div>
    <w:div w:id="1073238631">
      <w:bodyDiv w:val="1"/>
      <w:marLeft w:val="0"/>
      <w:marRight w:val="0"/>
      <w:marTop w:val="0"/>
      <w:marBottom w:val="0"/>
      <w:divBdr>
        <w:top w:val="none" w:sz="0" w:space="0" w:color="auto"/>
        <w:left w:val="none" w:sz="0" w:space="0" w:color="auto"/>
        <w:bottom w:val="none" w:sz="0" w:space="0" w:color="auto"/>
        <w:right w:val="none" w:sz="0" w:space="0" w:color="auto"/>
      </w:divBdr>
    </w:div>
    <w:div w:id="1092697630">
      <w:bodyDiv w:val="1"/>
      <w:marLeft w:val="0"/>
      <w:marRight w:val="0"/>
      <w:marTop w:val="0"/>
      <w:marBottom w:val="0"/>
      <w:divBdr>
        <w:top w:val="none" w:sz="0" w:space="0" w:color="auto"/>
        <w:left w:val="none" w:sz="0" w:space="0" w:color="auto"/>
        <w:bottom w:val="none" w:sz="0" w:space="0" w:color="auto"/>
        <w:right w:val="none" w:sz="0" w:space="0" w:color="auto"/>
      </w:divBdr>
    </w:div>
    <w:div w:id="1119450899">
      <w:bodyDiv w:val="1"/>
      <w:marLeft w:val="0"/>
      <w:marRight w:val="0"/>
      <w:marTop w:val="0"/>
      <w:marBottom w:val="0"/>
      <w:divBdr>
        <w:top w:val="none" w:sz="0" w:space="0" w:color="auto"/>
        <w:left w:val="none" w:sz="0" w:space="0" w:color="auto"/>
        <w:bottom w:val="none" w:sz="0" w:space="0" w:color="auto"/>
        <w:right w:val="none" w:sz="0" w:space="0" w:color="auto"/>
      </w:divBdr>
    </w:div>
    <w:div w:id="1128624674">
      <w:bodyDiv w:val="1"/>
      <w:marLeft w:val="0"/>
      <w:marRight w:val="0"/>
      <w:marTop w:val="0"/>
      <w:marBottom w:val="0"/>
      <w:divBdr>
        <w:top w:val="none" w:sz="0" w:space="0" w:color="auto"/>
        <w:left w:val="none" w:sz="0" w:space="0" w:color="auto"/>
        <w:bottom w:val="none" w:sz="0" w:space="0" w:color="auto"/>
        <w:right w:val="none" w:sz="0" w:space="0" w:color="auto"/>
      </w:divBdr>
    </w:div>
    <w:div w:id="1153109600">
      <w:bodyDiv w:val="1"/>
      <w:marLeft w:val="0"/>
      <w:marRight w:val="0"/>
      <w:marTop w:val="0"/>
      <w:marBottom w:val="0"/>
      <w:divBdr>
        <w:top w:val="none" w:sz="0" w:space="0" w:color="auto"/>
        <w:left w:val="none" w:sz="0" w:space="0" w:color="auto"/>
        <w:bottom w:val="none" w:sz="0" w:space="0" w:color="auto"/>
        <w:right w:val="none" w:sz="0" w:space="0" w:color="auto"/>
      </w:divBdr>
    </w:div>
    <w:div w:id="1218514508">
      <w:bodyDiv w:val="1"/>
      <w:marLeft w:val="0"/>
      <w:marRight w:val="0"/>
      <w:marTop w:val="0"/>
      <w:marBottom w:val="0"/>
      <w:divBdr>
        <w:top w:val="none" w:sz="0" w:space="0" w:color="auto"/>
        <w:left w:val="none" w:sz="0" w:space="0" w:color="auto"/>
        <w:bottom w:val="none" w:sz="0" w:space="0" w:color="auto"/>
        <w:right w:val="none" w:sz="0" w:space="0" w:color="auto"/>
      </w:divBdr>
    </w:div>
    <w:div w:id="1285429925">
      <w:bodyDiv w:val="1"/>
      <w:marLeft w:val="0"/>
      <w:marRight w:val="0"/>
      <w:marTop w:val="0"/>
      <w:marBottom w:val="0"/>
      <w:divBdr>
        <w:top w:val="none" w:sz="0" w:space="0" w:color="auto"/>
        <w:left w:val="none" w:sz="0" w:space="0" w:color="auto"/>
        <w:bottom w:val="none" w:sz="0" w:space="0" w:color="auto"/>
        <w:right w:val="none" w:sz="0" w:space="0" w:color="auto"/>
      </w:divBdr>
    </w:div>
    <w:div w:id="1287470441">
      <w:bodyDiv w:val="1"/>
      <w:marLeft w:val="0"/>
      <w:marRight w:val="0"/>
      <w:marTop w:val="0"/>
      <w:marBottom w:val="0"/>
      <w:divBdr>
        <w:top w:val="none" w:sz="0" w:space="0" w:color="auto"/>
        <w:left w:val="none" w:sz="0" w:space="0" w:color="auto"/>
        <w:bottom w:val="none" w:sz="0" w:space="0" w:color="auto"/>
        <w:right w:val="none" w:sz="0" w:space="0" w:color="auto"/>
      </w:divBdr>
    </w:div>
    <w:div w:id="1305354757">
      <w:bodyDiv w:val="1"/>
      <w:marLeft w:val="0"/>
      <w:marRight w:val="0"/>
      <w:marTop w:val="0"/>
      <w:marBottom w:val="0"/>
      <w:divBdr>
        <w:top w:val="none" w:sz="0" w:space="0" w:color="auto"/>
        <w:left w:val="none" w:sz="0" w:space="0" w:color="auto"/>
        <w:bottom w:val="none" w:sz="0" w:space="0" w:color="auto"/>
        <w:right w:val="none" w:sz="0" w:space="0" w:color="auto"/>
      </w:divBdr>
    </w:div>
    <w:div w:id="1340278101">
      <w:bodyDiv w:val="1"/>
      <w:marLeft w:val="0"/>
      <w:marRight w:val="0"/>
      <w:marTop w:val="0"/>
      <w:marBottom w:val="0"/>
      <w:divBdr>
        <w:top w:val="none" w:sz="0" w:space="0" w:color="auto"/>
        <w:left w:val="none" w:sz="0" w:space="0" w:color="auto"/>
        <w:bottom w:val="none" w:sz="0" w:space="0" w:color="auto"/>
        <w:right w:val="none" w:sz="0" w:space="0" w:color="auto"/>
      </w:divBdr>
    </w:div>
    <w:div w:id="1362894480">
      <w:bodyDiv w:val="1"/>
      <w:marLeft w:val="0"/>
      <w:marRight w:val="0"/>
      <w:marTop w:val="0"/>
      <w:marBottom w:val="0"/>
      <w:divBdr>
        <w:top w:val="none" w:sz="0" w:space="0" w:color="auto"/>
        <w:left w:val="none" w:sz="0" w:space="0" w:color="auto"/>
        <w:bottom w:val="none" w:sz="0" w:space="0" w:color="auto"/>
        <w:right w:val="none" w:sz="0" w:space="0" w:color="auto"/>
      </w:divBdr>
    </w:div>
    <w:div w:id="1393886673">
      <w:bodyDiv w:val="1"/>
      <w:marLeft w:val="0"/>
      <w:marRight w:val="0"/>
      <w:marTop w:val="0"/>
      <w:marBottom w:val="0"/>
      <w:divBdr>
        <w:top w:val="none" w:sz="0" w:space="0" w:color="auto"/>
        <w:left w:val="none" w:sz="0" w:space="0" w:color="auto"/>
        <w:bottom w:val="none" w:sz="0" w:space="0" w:color="auto"/>
        <w:right w:val="none" w:sz="0" w:space="0" w:color="auto"/>
      </w:divBdr>
    </w:div>
    <w:div w:id="1421102529">
      <w:bodyDiv w:val="1"/>
      <w:marLeft w:val="0"/>
      <w:marRight w:val="0"/>
      <w:marTop w:val="0"/>
      <w:marBottom w:val="0"/>
      <w:divBdr>
        <w:top w:val="none" w:sz="0" w:space="0" w:color="auto"/>
        <w:left w:val="none" w:sz="0" w:space="0" w:color="auto"/>
        <w:bottom w:val="none" w:sz="0" w:space="0" w:color="auto"/>
        <w:right w:val="none" w:sz="0" w:space="0" w:color="auto"/>
      </w:divBdr>
    </w:div>
    <w:div w:id="1449470390">
      <w:bodyDiv w:val="1"/>
      <w:marLeft w:val="0"/>
      <w:marRight w:val="0"/>
      <w:marTop w:val="0"/>
      <w:marBottom w:val="0"/>
      <w:divBdr>
        <w:top w:val="none" w:sz="0" w:space="0" w:color="auto"/>
        <w:left w:val="none" w:sz="0" w:space="0" w:color="auto"/>
        <w:bottom w:val="none" w:sz="0" w:space="0" w:color="auto"/>
        <w:right w:val="none" w:sz="0" w:space="0" w:color="auto"/>
      </w:divBdr>
    </w:div>
    <w:div w:id="1482425928">
      <w:bodyDiv w:val="1"/>
      <w:marLeft w:val="0"/>
      <w:marRight w:val="0"/>
      <w:marTop w:val="0"/>
      <w:marBottom w:val="0"/>
      <w:divBdr>
        <w:top w:val="none" w:sz="0" w:space="0" w:color="auto"/>
        <w:left w:val="none" w:sz="0" w:space="0" w:color="auto"/>
        <w:bottom w:val="none" w:sz="0" w:space="0" w:color="auto"/>
        <w:right w:val="none" w:sz="0" w:space="0" w:color="auto"/>
      </w:divBdr>
    </w:div>
    <w:div w:id="1484659018">
      <w:bodyDiv w:val="1"/>
      <w:marLeft w:val="0"/>
      <w:marRight w:val="0"/>
      <w:marTop w:val="0"/>
      <w:marBottom w:val="0"/>
      <w:divBdr>
        <w:top w:val="none" w:sz="0" w:space="0" w:color="auto"/>
        <w:left w:val="none" w:sz="0" w:space="0" w:color="auto"/>
        <w:bottom w:val="none" w:sz="0" w:space="0" w:color="auto"/>
        <w:right w:val="none" w:sz="0" w:space="0" w:color="auto"/>
      </w:divBdr>
    </w:div>
    <w:div w:id="1492330959">
      <w:bodyDiv w:val="1"/>
      <w:marLeft w:val="0"/>
      <w:marRight w:val="0"/>
      <w:marTop w:val="0"/>
      <w:marBottom w:val="0"/>
      <w:divBdr>
        <w:top w:val="none" w:sz="0" w:space="0" w:color="auto"/>
        <w:left w:val="none" w:sz="0" w:space="0" w:color="auto"/>
        <w:bottom w:val="none" w:sz="0" w:space="0" w:color="auto"/>
        <w:right w:val="none" w:sz="0" w:space="0" w:color="auto"/>
      </w:divBdr>
    </w:div>
    <w:div w:id="1495563689">
      <w:bodyDiv w:val="1"/>
      <w:marLeft w:val="0"/>
      <w:marRight w:val="0"/>
      <w:marTop w:val="0"/>
      <w:marBottom w:val="0"/>
      <w:divBdr>
        <w:top w:val="none" w:sz="0" w:space="0" w:color="auto"/>
        <w:left w:val="none" w:sz="0" w:space="0" w:color="auto"/>
        <w:bottom w:val="none" w:sz="0" w:space="0" w:color="auto"/>
        <w:right w:val="none" w:sz="0" w:space="0" w:color="auto"/>
      </w:divBdr>
    </w:div>
    <w:div w:id="1503541973">
      <w:bodyDiv w:val="1"/>
      <w:marLeft w:val="0"/>
      <w:marRight w:val="0"/>
      <w:marTop w:val="0"/>
      <w:marBottom w:val="0"/>
      <w:divBdr>
        <w:top w:val="none" w:sz="0" w:space="0" w:color="auto"/>
        <w:left w:val="none" w:sz="0" w:space="0" w:color="auto"/>
        <w:bottom w:val="none" w:sz="0" w:space="0" w:color="auto"/>
        <w:right w:val="none" w:sz="0" w:space="0" w:color="auto"/>
      </w:divBdr>
    </w:div>
    <w:div w:id="1519002810">
      <w:bodyDiv w:val="1"/>
      <w:marLeft w:val="0"/>
      <w:marRight w:val="0"/>
      <w:marTop w:val="0"/>
      <w:marBottom w:val="0"/>
      <w:divBdr>
        <w:top w:val="none" w:sz="0" w:space="0" w:color="auto"/>
        <w:left w:val="none" w:sz="0" w:space="0" w:color="auto"/>
        <w:bottom w:val="none" w:sz="0" w:space="0" w:color="auto"/>
        <w:right w:val="none" w:sz="0" w:space="0" w:color="auto"/>
      </w:divBdr>
    </w:div>
    <w:div w:id="1519194132">
      <w:bodyDiv w:val="1"/>
      <w:marLeft w:val="0"/>
      <w:marRight w:val="0"/>
      <w:marTop w:val="0"/>
      <w:marBottom w:val="0"/>
      <w:divBdr>
        <w:top w:val="none" w:sz="0" w:space="0" w:color="auto"/>
        <w:left w:val="none" w:sz="0" w:space="0" w:color="auto"/>
        <w:bottom w:val="none" w:sz="0" w:space="0" w:color="auto"/>
        <w:right w:val="none" w:sz="0" w:space="0" w:color="auto"/>
      </w:divBdr>
    </w:div>
    <w:div w:id="1519662863">
      <w:bodyDiv w:val="1"/>
      <w:marLeft w:val="0"/>
      <w:marRight w:val="0"/>
      <w:marTop w:val="0"/>
      <w:marBottom w:val="0"/>
      <w:divBdr>
        <w:top w:val="none" w:sz="0" w:space="0" w:color="auto"/>
        <w:left w:val="none" w:sz="0" w:space="0" w:color="auto"/>
        <w:bottom w:val="none" w:sz="0" w:space="0" w:color="auto"/>
        <w:right w:val="none" w:sz="0" w:space="0" w:color="auto"/>
      </w:divBdr>
    </w:div>
    <w:div w:id="1539932032">
      <w:bodyDiv w:val="1"/>
      <w:marLeft w:val="0"/>
      <w:marRight w:val="0"/>
      <w:marTop w:val="0"/>
      <w:marBottom w:val="0"/>
      <w:divBdr>
        <w:top w:val="none" w:sz="0" w:space="0" w:color="auto"/>
        <w:left w:val="none" w:sz="0" w:space="0" w:color="auto"/>
        <w:bottom w:val="none" w:sz="0" w:space="0" w:color="auto"/>
        <w:right w:val="none" w:sz="0" w:space="0" w:color="auto"/>
      </w:divBdr>
    </w:div>
    <w:div w:id="1577937811">
      <w:bodyDiv w:val="1"/>
      <w:marLeft w:val="0"/>
      <w:marRight w:val="0"/>
      <w:marTop w:val="0"/>
      <w:marBottom w:val="0"/>
      <w:divBdr>
        <w:top w:val="none" w:sz="0" w:space="0" w:color="auto"/>
        <w:left w:val="none" w:sz="0" w:space="0" w:color="auto"/>
        <w:bottom w:val="none" w:sz="0" w:space="0" w:color="auto"/>
        <w:right w:val="none" w:sz="0" w:space="0" w:color="auto"/>
      </w:divBdr>
    </w:div>
    <w:div w:id="1591231011">
      <w:bodyDiv w:val="1"/>
      <w:marLeft w:val="0"/>
      <w:marRight w:val="0"/>
      <w:marTop w:val="0"/>
      <w:marBottom w:val="0"/>
      <w:divBdr>
        <w:top w:val="none" w:sz="0" w:space="0" w:color="auto"/>
        <w:left w:val="none" w:sz="0" w:space="0" w:color="auto"/>
        <w:bottom w:val="none" w:sz="0" w:space="0" w:color="auto"/>
        <w:right w:val="none" w:sz="0" w:space="0" w:color="auto"/>
      </w:divBdr>
    </w:div>
    <w:div w:id="1592931314">
      <w:bodyDiv w:val="1"/>
      <w:marLeft w:val="0"/>
      <w:marRight w:val="0"/>
      <w:marTop w:val="0"/>
      <w:marBottom w:val="0"/>
      <w:divBdr>
        <w:top w:val="none" w:sz="0" w:space="0" w:color="auto"/>
        <w:left w:val="none" w:sz="0" w:space="0" w:color="auto"/>
        <w:bottom w:val="none" w:sz="0" w:space="0" w:color="auto"/>
        <w:right w:val="none" w:sz="0" w:space="0" w:color="auto"/>
      </w:divBdr>
    </w:div>
    <w:div w:id="1601907184">
      <w:bodyDiv w:val="1"/>
      <w:marLeft w:val="0"/>
      <w:marRight w:val="0"/>
      <w:marTop w:val="0"/>
      <w:marBottom w:val="0"/>
      <w:divBdr>
        <w:top w:val="none" w:sz="0" w:space="0" w:color="auto"/>
        <w:left w:val="none" w:sz="0" w:space="0" w:color="auto"/>
        <w:bottom w:val="none" w:sz="0" w:space="0" w:color="auto"/>
        <w:right w:val="none" w:sz="0" w:space="0" w:color="auto"/>
      </w:divBdr>
    </w:div>
    <w:div w:id="1604339170">
      <w:bodyDiv w:val="1"/>
      <w:marLeft w:val="0"/>
      <w:marRight w:val="0"/>
      <w:marTop w:val="0"/>
      <w:marBottom w:val="0"/>
      <w:divBdr>
        <w:top w:val="none" w:sz="0" w:space="0" w:color="auto"/>
        <w:left w:val="none" w:sz="0" w:space="0" w:color="auto"/>
        <w:bottom w:val="none" w:sz="0" w:space="0" w:color="auto"/>
        <w:right w:val="none" w:sz="0" w:space="0" w:color="auto"/>
      </w:divBdr>
    </w:div>
    <w:div w:id="1631864619">
      <w:bodyDiv w:val="1"/>
      <w:marLeft w:val="0"/>
      <w:marRight w:val="0"/>
      <w:marTop w:val="0"/>
      <w:marBottom w:val="0"/>
      <w:divBdr>
        <w:top w:val="none" w:sz="0" w:space="0" w:color="auto"/>
        <w:left w:val="none" w:sz="0" w:space="0" w:color="auto"/>
        <w:bottom w:val="none" w:sz="0" w:space="0" w:color="auto"/>
        <w:right w:val="none" w:sz="0" w:space="0" w:color="auto"/>
      </w:divBdr>
    </w:div>
    <w:div w:id="1706515518">
      <w:bodyDiv w:val="1"/>
      <w:marLeft w:val="0"/>
      <w:marRight w:val="0"/>
      <w:marTop w:val="0"/>
      <w:marBottom w:val="0"/>
      <w:divBdr>
        <w:top w:val="none" w:sz="0" w:space="0" w:color="auto"/>
        <w:left w:val="none" w:sz="0" w:space="0" w:color="auto"/>
        <w:bottom w:val="none" w:sz="0" w:space="0" w:color="auto"/>
        <w:right w:val="none" w:sz="0" w:space="0" w:color="auto"/>
      </w:divBdr>
    </w:div>
    <w:div w:id="1719282746">
      <w:bodyDiv w:val="1"/>
      <w:marLeft w:val="0"/>
      <w:marRight w:val="0"/>
      <w:marTop w:val="0"/>
      <w:marBottom w:val="0"/>
      <w:divBdr>
        <w:top w:val="none" w:sz="0" w:space="0" w:color="auto"/>
        <w:left w:val="none" w:sz="0" w:space="0" w:color="auto"/>
        <w:bottom w:val="none" w:sz="0" w:space="0" w:color="auto"/>
        <w:right w:val="none" w:sz="0" w:space="0" w:color="auto"/>
      </w:divBdr>
    </w:div>
    <w:div w:id="1775900593">
      <w:bodyDiv w:val="1"/>
      <w:marLeft w:val="0"/>
      <w:marRight w:val="0"/>
      <w:marTop w:val="0"/>
      <w:marBottom w:val="0"/>
      <w:divBdr>
        <w:top w:val="none" w:sz="0" w:space="0" w:color="auto"/>
        <w:left w:val="none" w:sz="0" w:space="0" w:color="auto"/>
        <w:bottom w:val="none" w:sz="0" w:space="0" w:color="auto"/>
        <w:right w:val="none" w:sz="0" w:space="0" w:color="auto"/>
      </w:divBdr>
    </w:div>
    <w:div w:id="1779595518">
      <w:bodyDiv w:val="1"/>
      <w:marLeft w:val="0"/>
      <w:marRight w:val="0"/>
      <w:marTop w:val="0"/>
      <w:marBottom w:val="0"/>
      <w:divBdr>
        <w:top w:val="none" w:sz="0" w:space="0" w:color="auto"/>
        <w:left w:val="none" w:sz="0" w:space="0" w:color="auto"/>
        <w:bottom w:val="none" w:sz="0" w:space="0" w:color="auto"/>
        <w:right w:val="none" w:sz="0" w:space="0" w:color="auto"/>
      </w:divBdr>
    </w:div>
    <w:div w:id="1780833721">
      <w:bodyDiv w:val="1"/>
      <w:marLeft w:val="0"/>
      <w:marRight w:val="0"/>
      <w:marTop w:val="0"/>
      <w:marBottom w:val="0"/>
      <w:divBdr>
        <w:top w:val="none" w:sz="0" w:space="0" w:color="auto"/>
        <w:left w:val="none" w:sz="0" w:space="0" w:color="auto"/>
        <w:bottom w:val="none" w:sz="0" w:space="0" w:color="auto"/>
        <w:right w:val="none" w:sz="0" w:space="0" w:color="auto"/>
      </w:divBdr>
    </w:div>
    <w:div w:id="1886525215">
      <w:bodyDiv w:val="1"/>
      <w:marLeft w:val="0"/>
      <w:marRight w:val="0"/>
      <w:marTop w:val="0"/>
      <w:marBottom w:val="0"/>
      <w:divBdr>
        <w:top w:val="none" w:sz="0" w:space="0" w:color="auto"/>
        <w:left w:val="none" w:sz="0" w:space="0" w:color="auto"/>
        <w:bottom w:val="none" w:sz="0" w:space="0" w:color="auto"/>
        <w:right w:val="none" w:sz="0" w:space="0" w:color="auto"/>
      </w:divBdr>
    </w:div>
    <w:div w:id="1898585319">
      <w:bodyDiv w:val="1"/>
      <w:marLeft w:val="0"/>
      <w:marRight w:val="0"/>
      <w:marTop w:val="0"/>
      <w:marBottom w:val="0"/>
      <w:divBdr>
        <w:top w:val="none" w:sz="0" w:space="0" w:color="auto"/>
        <w:left w:val="none" w:sz="0" w:space="0" w:color="auto"/>
        <w:bottom w:val="none" w:sz="0" w:space="0" w:color="auto"/>
        <w:right w:val="none" w:sz="0" w:space="0" w:color="auto"/>
      </w:divBdr>
    </w:div>
    <w:div w:id="1907719875">
      <w:bodyDiv w:val="1"/>
      <w:marLeft w:val="0"/>
      <w:marRight w:val="0"/>
      <w:marTop w:val="0"/>
      <w:marBottom w:val="0"/>
      <w:divBdr>
        <w:top w:val="none" w:sz="0" w:space="0" w:color="auto"/>
        <w:left w:val="none" w:sz="0" w:space="0" w:color="auto"/>
        <w:bottom w:val="none" w:sz="0" w:space="0" w:color="auto"/>
        <w:right w:val="none" w:sz="0" w:space="0" w:color="auto"/>
      </w:divBdr>
    </w:div>
    <w:div w:id="1916041292">
      <w:bodyDiv w:val="1"/>
      <w:marLeft w:val="0"/>
      <w:marRight w:val="0"/>
      <w:marTop w:val="0"/>
      <w:marBottom w:val="0"/>
      <w:divBdr>
        <w:top w:val="none" w:sz="0" w:space="0" w:color="auto"/>
        <w:left w:val="none" w:sz="0" w:space="0" w:color="auto"/>
        <w:bottom w:val="none" w:sz="0" w:space="0" w:color="auto"/>
        <w:right w:val="none" w:sz="0" w:space="0" w:color="auto"/>
      </w:divBdr>
    </w:div>
    <w:div w:id="1938324644">
      <w:bodyDiv w:val="1"/>
      <w:marLeft w:val="0"/>
      <w:marRight w:val="0"/>
      <w:marTop w:val="0"/>
      <w:marBottom w:val="0"/>
      <w:divBdr>
        <w:top w:val="none" w:sz="0" w:space="0" w:color="auto"/>
        <w:left w:val="none" w:sz="0" w:space="0" w:color="auto"/>
        <w:bottom w:val="none" w:sz="0" w:space="0" w:color="auto"/>
        <w:right w:val="none" w:sz="0" w:space="0" w:color="auto"/>
      </w:divBdr>
    </w:div>
    <w:div w:id="1942102527">
      <w:bodyDiv w:val="1"/>
      <w:marLeft w:val="0"/>
      <w:marRight w:val="0"/>
      <w:marTop w:val="0"/>
      <w:marBottom w:val="0"/>
      <w:divBdr>
        <w:top w:val="none" w:sz="0" w:space="0" w:color="auto"/>
        <w:left w:val="none" w:sz="0" w:space="0" w:color="auto"/>
        <w:bottom w:val="none" w:sz="0" w:space="0" w:color="auto"/>
        <w:right w:val="none" w:sz="0" w:space="0" w:color="auto"/>
      </w:divBdr>
    </w:div>
    <w:div w:id="1945113314">
      <w:bodyDiv w:val="1"/>
      <w:marLeft w:val="0"/>
      <w:marRight w:val="0"/>
      <w:marTop w:val="0"/>
      <w:marBottom w:val="0"/>
      <w:divBdr>
        <w:top w:val="none" w:sz="0" w:space="0" w:color="auto"/>
        <w:left w:val="none" w:sz="0" w:space="0" w:color="auto"/>
        <w:bottom w:val="none" w:sz="0" w:space="0" w:color="auto"/>
        <w:right w:val="none" w:sz="0" w:space="0" w:color="auto"/>
      </w:divBdr>
    </w:div>
    <w:div w:id="1945724214">
      <w:bodyDiv w:val="1"/>
      <w:marLeft w:val="0"/>
      <w:marRight w:val="0"/>
      <w:marTop w:val="0"/>
      <w:marBottom w:val="0"/>
      <w:divBdr>
        <w:top w:val="none" w:sz="0" w:space="0" w:color="auto"/>
        <w:left w:val="none" w:sz="0" w:space="0" w:color="auto"/>
        <w:bottom w:val="none" w:sz="0" w:space="0" w:color="auto"/>
        <w:right w:val="none" w:sz="0" w:space="0" w:color="auto"/>
      </w:divBdr>
    </w:div>
    <w:div w:id="1979992636">
      <w:bodyDiv w:val="1"/>
      <w:marLeft w:val="0"/>
      <w:marRight w:val="0"/>
      <w:marTop w:val="0"/>
      <w:marBottom w:val="0"/>
      <w:divBdr>
        <w:top w:val="none" w:sz="0" w:space="0" w:color="auto"/>
        <w:left w:val="none" w:sz="0" w:space="0" w:color="auto"/>
        <w:bottom w:val="none" w:sz="0" w:space="0" w:color="auto"/>
        <w:right w:val="none" w:sz="0" w:space="0" w:color="auto"/>
      </w:divBdr>
    </w:div>
    <w:div w:id="2023314172">
      <w:bodyDiv w:val="1"/>
      <w:marLeft w:val="0"/>
      <w:marRight w:val="0"/>
      <w:marTop w:val="0"/>
      <w:marBottom w:val="0"/>
      <w:divBdr>
        <w:top w:val="none" w:sz="0" w:space="0" w:color="auto"/>
        <w:left w:val="none" w:sz="0" w:space="0" w:color="auto"/>
        <w:bottom w:val="none" w:sz="0" w:space="0" w:color="auto"/>
        <w:right w:val="none" w:sz="0" w:space="0" w:color="auto"/>
      </w:divBdr>
    </w:div>
    <w:div w:id="2029982524">
      <w:bodyDiv w:val="1"/>
      <w:marLeft w:val="0"/>
      <w:marRight w:val="0"/>
      <w:marTop w:val="0"/>
      <w:marBottom w:val="0"/>
      <w:divBdr>
        <w:top w:val="none" w:sz="0" w:space="0" w:color="auto"/>
        <w:left w:val="none" w:sz="0" w:space="0" w:color="auto"/>
        <w:bottom w:val="none" w:sz="0" w:space="0" w:color="auto"/>
        <w:right w:val="none" w:sz="0" w:space="0" w:color="auto"/>
      </w:divBdr>
    </w:div>
    <w:div w:id="2036609502">
      <w:bodyDiv w:val="1"/>
      <w:marLeft w:val="0"/>
      <w:marRight w:val="0"/>
      <w:marTop w:val="0"/>
      <w:marBottom w:val="0"/>
      <w:divBdr>
        <w:top w:val="none" w:sz="0" w:space="0" w:color="auto"/>
        <w:left w:val="none" w:sz="0" w:space="0" w:color="auto"/>
        <w:bottom w:val="none" w:sz="0" w:space="0" w:color="auto"/>
        <w:right w:val="none" w:sz="0" w:space="0" w:color="auto"/>
      </w:divBdr>
    </w:div>
    <w:div w:id="2054881533">
      <w:bodyDiv w:val="1"/>
      <w:marLeft w:val="0"/>
      <w:marRight w:val="0"/>
      <w:marTop w:val="0"/>
      <w:marBottom w:val="0"/>
      <w:divBdr>
        <w:top w:val="none" w:sz="0" w:space="0" w:color="auto"/>
        <w:left w:val="none" w:sz="0" w:space="0" w:color="auto"/>
        <w:bottom w:val="none" w:sz="0" w:space="0" w:color="auto"/>
        <w:right w:val="none" w:sz="0" w:space="0" w:color="auto"/>
      </w:divBdr>
    </w:div>
    <w:div w:id="208236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3" Type="http://schemas.openxmlformats.org/officeDocument/2006/relationships/oleObject" Target="file:///G:\1.BAPPELITBANGDA%202021\7.RKPD%20Perubahan%202021\1.Gabung%20RKPD-P%202021\2.Perubahan%20RKPD%20Kabupaten%20Kepulauan%20Selayar%20Tahun%202021_perbaikan%20hasil%20evaluasi%20prov\Tabel%20Perbaikan%20Evaluasi.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G:\1.BAPPELITBANGDA%202021\7.RKPD%20Perubahan%202021\1.Gabung%20RKPD-P%202021\2.Perubahan%20RKPD%20Kabupaten%20Kepulauan%20Selayar%20Tahun%202021_perbaikan%20hasil%20evaluasi%20prov\Tabel%20Perbaikan%20Evaluasi.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G:\1.BAPPELITBANGDA%202021\7.RKPD%20Perubahan%202021\1.Gabung%20RKPD-P%202021\2.Perubahan%20RKPD%20Kabupaten%20Kepulauan%20Selayar%20Tahun%202021_perbaikan%20hasil%20evaluasi%20prov\Tabel%20Perbaikan%20Evaluasi.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G:\1.BAPPELITBANGDA%202021\7.RKPD%20Perubahan%202021\1.Gabung%20RKPD-P%202021\2.Perubahan%20RKPD%20Kabupaten%20Kepulauan%20Selayar%20Tahun%202021_perbaikan%20hasil%20evaluasi%20prov\Tabel%20Perbaikan%20Evaluasi.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G:\1.BAPPELITBANGDA%202021\7.RKPD%20Perubahan%202021\1.Gabung%20RKPD-P%202021\2.Perubahan%20RKPD%20Kabupaten%20Kepulauan%20Selayar%20Tahun%202021_perbaikan%20hasil%20evaluasi%20prov\Tabel%20Perbaikan%20Evaluasi.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G:\1.BAPPELITBANGDA%202021\7.RKPD%20Perubahan%202021\1.Gabung%20RKPD-P%202021\2.Perubahan%20RKPD%20Kabupaten%20Kepulauan%20Selayar%20Tahun%202021_perbaikan%20hasil%20evaluasi%20prov\Tabel%20Perbaikan%20Evaluasi.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G:\1.BAPPELITBANGDA%202021\7.RKPD%20Perubahan%202021\1.Gabung%20RKPD-P%202021\2.Perubahan%20RKPD%20Kabupaten%20Kepulauan%20Selayar%20Tahun%202021_perbaikan%20hasil%20evaluasi%20prov\Tabel%20Perbaikan%20Evaluasi.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Sheet2!$B$1</c:f>
              <c:strCache>
                <c:ptCount val="1"/>
                <c:pt idx="0">
                  <c:v>Pertumbuhan Ekonomi</c:v>
                </c:pt>
              </c:strCache>
            </c:strRef>
          </c:tx>
          <c:spPr>
            <a:solidFill>
              <a:srgbClr val="92D050"/>
            </a:solidFill>
            <a:ln>
              <a:noFill/>
            </a:ln>
            <a:effectLst>
              <a:outerShdw blurRad="50800" dist="25400" dir="18900000" algn="bl" rotWithShape="0">
                <a:prstClr val="black">
                  <a:alpha val="40000"/>
                </a:prstClr>
              </a:outerShdw>
            </a:effectLst>
          </c:spPr>
          <c:invertIfNegative val="0"/>
          <c:dPt>
            <c:idx val="0"/>
            <c:invertIfNegative val="0"/>
            <c:bubble3D val="0"/>
            <c:spPr>
              <a:solidFill>
                <a:schemeClr val="accent5"/>
              </a:solidFill>
              <a:ln>
                <a:noFill/>
              </a:ln>
              <a:effectLst>
                <a:outerShdw blurRad="50800" dist="25400" dir="18900000" algn="bl" rotWithShape="0">
                  <a:prstClr val="black">
                    <a:alpha val="40000"/>
                  </a:prstClr>
                </a:outerShdw>
              </a:effectLst>
            </c:spPr>
          </c:dPt>
          <c:dPt>
            <c:idx val="1"/>
            <c:invertIfNegative val="0"/>
            <c:bubble3D val="0"/>
            <c:spPr>
              <a:solidFill>
                <a:schemeClr val="accent2">
                  <a:lumMod val="60000"/>
                  <a:lumOff val="40000"/>
                </a:schemeClr>
              </a:solidFill>
              <a:ln>
                <a:noFill/>
              </a:ln>
              <a:effectLst>
                <a:outerShdw blurRad="50800" dist="25400" dir="18900000" algn="bl" rotWithShape="0">
                  <a:prstClr val="black">
                    <a:alpha val="40000"/>
                  </a:prstClr>
                </a:outerShdw>
              </a:effectLst>
            </c:spPr>
          </c:dPt>
          <c:dPt>
            <c:idx val="2"/>
            <c:invertIfNegative val="0"/>
            <c:bubble3D val="0"/>
            <c:spPr>
              <a:solidFill>
                <a:schemeClr val="accent4">
                  <a:lumMod val="60000"/>
                  <a:lumOff val="40000"/>
                </a:schemeClr>
              </a:solidFill>
              <a:ln>
                <a:noFill/>
              </a:ln>
              <a:effectLst>
                <a:outerShdw blurRad="50800" dist="25400" dir="18900000" algn="bl" rotWithShape="0">
                  <a:prstClr val="black">
                    <a:alpha val="40000"/>
                  </a:prstClr>
                </a:outerShdw>
              </a:effectLst>
            </c:spPr>
          </c:dPt>
          <c:dLbls>
            <c:dLbl>
              <c:idx val="0"/>
              <c:layout>
                <c:manualLayout>
                  <c:x val="2.911208151382824E-3"/>
                  <c:y val="-0.35618857769361106"/>
                </c:manualLayout>
              </c:layout>
              <c:tx>
                <c:rich>
                  <a:bodyPr/>
                  <a:lstStyle/>
                  <a:p>
                    <a:r>
                      <a:rPr lang="en-US"/>
                      <a:t>4,10-5,55</a:t>
                    </a:r>
                  </a:p>
                </c:rich>
              </c:tx>
              <c:dLblPos val="ctr"/>
              <c:showLegendKey val="0"/>
              <c:showVal val="1"/>
              <c:showCatName val="0"/>
              <c:showSerName val="0"/>
              <c:showPercent val="0"/>
              <c:showBubbleSize val="0"/>
              <c:extLst>
                <c:ext xmlns:c15="http://schemas.microsoft.com/office/drawing/2012/chart" uri="{CE6537A1-D6FC-4f65-9D91-7224C49458BB}"/>
              </c:extLst>
            </c:dLbl>
            <c:dLbl>
              <c:idx val="1"/>
              <c:layout>
                <c:manualLayout>
                  <c:x val="-2.7777968801935226E-3"/>
                  <c:y val="-0.38496251259731773"/>
                </c:manualLayout>
              </c:layout>
              <c:dLblPos val="ctr"/>
              <c:showLegendKey val="0"/>
              <c:showVal val="1"/>
              <c:showCatName val="0"/>
              <c:showSerName val="0"/>
              <c:showPercent val="0"/>
              <c:showBubbleSize val="0"/>
              <c:extLst>
                <c:ext xmlns:c15="http://schemas.microsoft.com/office/drawing/2012/chart" uri="{CE6537A1-D6FC-4f65-9D91-7224C49458BB}"/>
              </c:extLst>
            </c:dLbl>
            <c:dLbl>
              <c:idx val="2"/>
              <c:layout>
                <c:manualLayout>
                  <c:x val="0"/>
                  <c:y val="-0.35718484556519042"/>
                </c:manualLayout>
              </c:layout>
              <c:tx>
                <c:rich>
                  <a:bodyPr/>
                  <a:lstStyle/>
                  <a:p>
                    <a:r>
                      <a:rPr lang="en-US"/>
                      <a:t>4,10-5,55</a:t>
                    </a:r>
                  </a:p>
                </c:rich>
              </c:tx>
              <c:dLblPos val="ctr"/>
              <c:showLegendKey val="0"/>
              <c:showVal val="1"/>
              <c:showCatName val="0"/>
              <c:showSerName val="0"/>
              <c:showPercent val="0"/>
              <c:showBubbleSize val="0"/>
              <c:extLst>
                <c:ext xmlns:c15="http://schemas.microsoft.com/office/drawing/2012/chart" uri="{CE6537A1-D6FC-4f65-9D91-7224C49458BB}"/>
              </c:extLst>
            </c:dLbl>
            <c:dLbl>
              <c:idx val="3"/>
              <c:layout>
                <c:manualLayout>
                  <c:x val="-5.5555555555555558E-3"/>
                  <c:y val="5.5555555555555552E-2"/>
                </c:manualLayout>
              </c:layout>
              <c:dLblPos val="ct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Sheet2!$A$2:$A$5</c:f>
              <c:strCache>
                <c:ptCount val="4"/>
                <c:pt idx="0">
                  <c:v>Target Perubahan RPJMD 2021</c:v>
                </c:pt>
                <c:pt idx="1">
                  <c:v>Target RKPD Pokok 2021</c:v>
                </c:pt>
                <c:pt idx="2">
                  <c:v>Target Perubahan RKPD 2021</c:v>
                </c:pt>
                <c:pt idx="3">
                  <c:v>Capaian TW I</c:v>
                </c:pt>
              </c:strCache>
            </c:strRef>
          </c:cat>
          <c:val>
            <c:numRef>
              <c:f>Sheet2!$B$2:$B$5</c:f>
              <c:numCache>
                <c:formatCode>General</c:formatCode>
                <c:ptCount val="4"/>
                <c:pt idx="0">
                  <c:v>5.55</c:v>
                </c:pt>
                <c:pt idx="1">
                  <c:v>6.1</c:v>
                </c:pt>
                <c:pt idx="2">
                  <c:v>5.55</c:v>
                </c:pt>
                <c:pt idx="3">
                  <c:v>-0.21</c:v>
                </c:pt>
              </c:numCache>
            </c:numRef>
          </c:val>
        </c:ser>
        <c:dLbls>
          <c:dLblPos val="ctr"/>
          <c:showLegendKey val="0"/>
          <c:showVal val="1"/>
          <c:showCatName val="0"/>
          <c:showSerName val="0"/>
          <c:showPercent val="0"/>
          <c:showBubbleSize val="0"/>
        </c:dLbls>
        <c:gapWidth val="150"/>
        <c:overlap val="100"/>
        <c:axId val="281812360"/>
        <c:axId val="281812752"/>
      </c:barChart>
      <c:catAx>
        <c:axId val="28181236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81812752"/>
        <c:crosses val="autoZero"/>
        <c:auto val="1"/>
        <c:lblAlgn val="ctr"/>
        <c:lblOffset val="100"/>
        <c:noMultiLvlLbl val="0"/>
      </c:catAx>
      <c:valAx>
        <c:axId val="281812752"/>
        <c:scaling>
          <c:orientation val="minMax"/>
        </c:scaling>
        <c:delete val="1"/>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crossAx val="2818123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'makro ekonomi'!$C$19</c:f>
              <c:strCache>
                <c:ptCount val="1"/>
                <c:pt idx="0">
                  <c:v>Pertumbuhan Ekonomi</c:v>
                </c:pt>
              </c:strCache>
            </c:strRef>
          </c:tx>
          <c:spPr>
            <a:solidFill>
              <a:schemeClr val="accent1">
                <a:alpha val="70000"/>
              </a:schemeClr>
            </a:solidFill>
            <a:ln>
              <a:noFill/>
            </a:ln>
            <a:effectLst/>
            <a:scene3d>
              <a:camera prst="orthographicFront"/>
              <a:lightRig rig="threePt" dir="t"/>
            </a:scene3d>
            <a:sp3d>
              <a:bevelT/>
              <a:bevelB/>
            </a:sp3d>
          </c:spPr>
          <c:invertIfNegative val="0"/>
          <c:dPt>
            <c:idx val="1"/>
            <c:invertIfNegative val="0"/>
            <c:bubble3D val="0"/>
            <c:spPr>
              <a:solidFill>
                <a:schemeClr val="accent2">
                  <a:alpha val="70000"/>
                </a:schemeClr>
              </a:solidFill>
              <a:ln>
                <a:noFill/>
              </a:ln>
              <a:effectLst/>
              <a:scene3d>
                <a:camera prst="orthographicFront"/>
                <a:lightRig rig="threePt" dir="t"/>
              </a:scene3d>
              <a:sp3d>
                <a:bevelT/>
                <a:bevelB/>
              </a:sp3d>
            </c:spPr>
          </c:dPt>
          <c:dPt>
            <c:idx val="2"/>
            <c:invertIfNegative val="0"/>
            <c:bubble3D val="0"/>
            <c:spPr>
              <a:solidFill>
                <a:schemeClr val="accent4">
                  <a:alpha val="70000"/>
                </a:schemeClr>
              </a:solidFill>
              <a:ln>
                <a:noFill/>
              </a:ln>
              <a:effectLst/>
              <a:scene3d>
                <a:camera prst="orthographicFront"/>
                <a:lightRig rig="threePt" dir="t"/>
              </a:scene3d>
              <a:sp3d>
                <a:bevelT/>
                <a:bevelB/>
              </a:sp3d>
            </c:spPr>
          </c:dPt>
          <c:dPt>
            <c:idx val="3"/>
            <c:invertIfNegative val="0"/>
            <c:bubble3D val="0"/>
            <c:spPr>
              <a:solidFill>
                <a:schemeClr val="accent6">
                  <a:alpha val="70000"/>
                </a:schemeClr>
              </a:solidFill>
              <a:ln>
                <a:noFill/>
              </a:ln>
              <a:effectLst/>
              <a:scene3d>
                <a:camera prst="orthographicFront"/>
                <a:lightRig rig="threePt" dir="t"/>
              </a:scene3d>
              <a:sp3d>
                <a:bevelT/>
                <a:bevelB/>
              </a:sp3d>
            </c:spPr>
          </c:dPt>
          <c:dLbls>
            <c:dLbl>
              <c:idx val="0"/>
              <c:layout>
                <c:manualLayout>
                  <c:x val="-1.3888888888888902E-2"/>
                  <c:y val="0.13888888888888898"/>
                </c:manualLayout>
              </c:layout>
              <c:tx>
                <c:rich>
                  <a:bodyPr/>
                  <a:lstStyle/>
                  <a:p>
                    <a:r>
                      <a:rPr lang="en-US"/>
                      <a:t>-1,78</a:t>
                    </a:r>
                  </a:p>
                </c:rich>
              </c:tx>
              <c:dLblPos val="ctr"/>
              <c:showLegendKey val="0"/>
              <c:showVal val="1"/>
              <c:showCatName val="0"/>
              <c:showSerName val="0"/>
              <c:showPercent val="0"/>
              <c:showBubbleSize val="0"/>
              <c:extLst>
                <c:ext xmlns:c15="http://schemas.microsoft.com/office/drawing/2012/chart" uri="{CE6537A1-D6FC-4f65-9D91-7224C49458BB}"/>
              </c:extLst>
            </c:dLbl>
            <c:dLbl>
              <c:idx val="1"/>
              <c:layout>
                <c:manualLayout>
                  <c:x val="-5.0925337632079971E-17"/>
                  <c:y val="-0.29166666666666669"/>
                </c:manualLayout>
              </c:layout>
              <c:tx>
                <c:rich>
                  <a:bodyPr/>
                  <a:lstStyle/>
                  <a:p>
                    <a:r>
                      <a:rPr lang="en-US"/>
                      <a:t>7,48</a:t>
                    </a:r>
                  </a:p>
                </c:rich>
              </c:tx>
              <c:dLblPos val="ctr"/>
              <c:showLegendKey val="0"/>
              <c:showVal val="1"/>
              <c:showCatName val="0"/>
              <c:showSerName val="0"/>
              <c:showPercent val="0"/>
              <c:showBubbleSize val="0"/>
              <c:extLst>
                <c:ext xmlns:c15="http://schemas.microsoft.com/office/drawing/2012/chart" uri="{CE6537A1-D6FC-4f65-9D91-7224C49458BB}"/>
              </c:extLst>
            </c:dLbl>
            <c:dLbl>
              <c:idx val="2"/>
              <c:layout>
                <c:manualLayout>
                  <c:x val="-2.7777777777777779E-3"/>
                  <c:y val="-0.21296296296296299"/>
                </c:manualLayout>
              </c:layout>
              <c:tx>
                <c:rich>
                  <a:bodyPr/>
                  <a:lstStyle/>
                  <a:p>
                    <a:r>
                      <a:rPr lang="en-US"/>
                      <a:t>3,10-4,50</a:t>
                    </a:r>
                  </a:p>
                </c:rich>
              </c:tx>
              <c:dLblPos val="ctr"/>
              <c:showLegendKey val="0"/>
              <c:showVal val="1"/>
              <c:showCatName val="0"/>
              <c:showSerName val="0"/>
              <c:showPercent val="0"/>
              <c:showBubbleSize val="0"/>
              <c:extLst>
                <c:ext xmlns:c15="http://schemas.microsoft.com/office/drawing/2012/chart" uri="{CE6537A1-D6FC-4f65-9D91-7224C49458BB}"/>
              </c:extLst>
            </c:dLbl>
            <c:dLbl>
              <c:idx val="3"/>
              <c:layout>
                <c:manualLayout>
                  <c:x val="0"/>
                  <c:y val="-0.31944444444444442"/>
                </c:manualLayout>
              </c:layout>
              <c:tx>
                <c:rich>
                  <a:bodyPr/>
                  <a:lstStyle/>
                  <a:p>
                    <a:r>
                      <a:rPr lang="en-US"/>
                      <a:t>8,40</a:t>
                    </a:r>
                  </a:p>
                </c:rich>
              </c:tx>
              <c:dLblPos val="ct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'makro ekonomi'!$B$20:$B$23</c:f>
              <c:strCache>
                <c:ptCount val="4"/>
                <c:pt idx="0">
                  <c:v>Capaian Tahun 2020</c:v>
                </c:pt>
                <c:pt idx="1">
                  <c:v>Target RKPD Pokok 2021</c:v>
                </c:pt>
                <c:pt idx="2">
                  <c:v>Target Perubahan RKPD 2021</c:v>
                </c:pt>
                <c:pt idx="3">
                  <c:v>Target RPJMD 2021</c:v>
                </c:pt>
              </c:strCache>
            </c:strRef>
          </c:cat>
          <c:val>
            <c:numRef>
              <c:f>'makro ekonomi'!$C$20:$C$23</c:f>
              <c:numCache>
                <c:formatCode>0.00</c:formatCode>
                <c:ptCount val="4"/>
                <c:pt idx="0">
                  <c:v>-1.78</c:v>
                </c:pt>
                <c:pt idx="1">
                  <c:v>7.48</c:v>
                </c:pt>
                <c:pt idx="2">
                  <c:v>4.5</c:v>
                </c:pt>
                <c:pt idx="3">
                  <c:v>8.4</c:v>
                </c:pt>
              </c:numCache>
            </c:numRef>
          </c:val>
        </c:ser>
        <c:dLbls>
          <c:dLblPos val="ctr"/>
          <c:showLegendKey val="0"/>
          <c:showVal val="1"/>
          <c:showCatName val="0"/>
          <c:showSerName val="0"/>
          <c:showPercent val="0"/>
          <c:showBubbleSize val="0"/>
        </c:dLbls>
        <c:gapWidth val="50"/>
        <c:overlap val="100"/>
        <c:axId val="331755568"/>
        <c:axId val="331753216"/>
      </c:barChart>
      <c:catAx>
        <c:axId val="331755568"/>
        <c:scaling>
          <c:orientation val="minMax"/>
        </c:scaling>
        <c:delete val="0"/>
        <c:axPos val="b"/>
        <c:numFmt formatCode="General" sourceLinked="1"/>
        <c:majorTickMark val="none"/>
        <c:minorTickMark val="none"/>
        <c:tickLblPos val="nextTo"/>
        <c:spPr>
          <a:noFill/>
          <a:ln w="9525" cap="flat" cmpd="sng" algn="ctr">
            <a:solidFill>
              <a:schemeClr val="tx1">
                <a:lumMod val="25000"/>
                <a:lumOff val="75000"/>
              </a:schemeClr>
            </a:solidFill>
            <a:round/>
            <a:headEnd type="none" w="sm" len="sm"/>
            <a:tailEnd type="none" w="sm" len="sm"/>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331753216"/>
        <c:crosses val="autoZero"/>
        <c:auto val="1"/>
        <c:lblAlgn val="ctr"/>
        <c:lblOffset val="100"/>
        <c:noMultiLvlLbl val="0"/>
      </c:catAx>
      <c:valAx>
        <c:axId val="331753216"/>
        <c:scaling>
          <c:orientation val="minMax"/>
        </c:scaling>
        <c:delete val="1"/>
        <c:axPos val="l"/>
        <c:majorGridlines>
          <c:spPr>
            <a:ln w="9525" cap="flat" cmpd="sng" algn="ctr">
              <a:gradFill>
                <a:gsLst>
                  <a:gs pos="0">
                    <a:schemeClr val="tx1">
                      <a:lumMod val="5000"/>
                      <a:lumOff val="95000"/>
                    </a:schemeClr>
                  </a:gs>
                  <a:gs pos="100000">
                    <a:schemeClr val="tx1">
                      <a:lumMod val="15000"/>
                      <a:lumOff val="85000"/>
                    </a:schemeClr>
                  </a:gs>
                </a:gsLst>
                <a:lin ang="5400000" scaled="0"/>
              </a:gradFill>
              <a:round/>
            </a:ln>
            <a:effectLst/>
          </c:spPr>
        </c:majorGridlines>
        <c:numFmt formatCode="0.00" sourceLinked="1"/>
        <c:majorTickMark val="none"/>
        <c:minorTickMark val="none"/>
        <c:tickLblPos val="nextTo"/>
        <c:crossAx val="3317555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'makro ekonomi'!$C$108</c:f>
              <c:strCache>
                <c:ptCount val="1"/>
                <c:pt idx="0">
                  <c:v>PDRB per kapita</c:v>
                </c:pt>
              </c:strCache>
            </c:strRef>
          </c:tx>
          <c:spPr>
            <a:solidFill>
              <a:schemeClr val="accent1">
                <a:alpha val="85000"/>
              </a:schemeClr>
            </a:solidFill>
            <a:ln w="9525" cap="flat" cmpd="sng" algn="ctr">
              <a:solidFill>
                <a:schemeClr val="lt1">
                  <a:alpha val="50000"/>
                </a:schemeClr>
              </a:solidFill>
              <a:round/>
            </a:ln>
            <a:effectLst/>
            <a:scene3d>
              <a:camera prst="orthographicFront"/>
              <a:lightRig rig="threePt" dir="t"/>
            </a:scene3d>
            <a:sp3d>
              <a:bevelT/>
              <a:bevelB/>
            </a:sp3d>
          </c:spPr>
          <c:invertIfNegative val="0"/>
          <c:dPt>
            <c:idx val="0"/>
            <c:invertIfNegative val="0"/>
            <c:bubble3D val="0"/>
            <c:spPr>
              <a:solidFill>
                <a:srgbClr val="0070C0">
                  <a:alpha val="85000"/>
                </a:srgbClr>
              </a:solidFill>
              <a:ln w="9525" cap="flat" cmpd="sng" algn="ctr">
                <a:solidFill>
                  <a:schemeClr val="lt1">
                    <a:alpha val="50000"/>
                  </a:schemeClr>
                </a:solidFill>
                <a:round/>
              </a:ln>
              <a:effectLst/>
              <a:scene3d>
                <a:camera prst="orthographicFront"/>
                <a:lightRig rig="threePt" dir="t"/>
              </a:scene3d>
              <a:sp3d>
                <a:bevelT/>
                <a:bevelB/>
              </a:sp3d>
            </c:spPr>
          </c:dPt>
          <c:dPt>
            <c:idx val="1"/>
            <c:invertIfNegative val="0"/>
            <c:bubble3D val="0"/>
            <c:spPr>
              <a:solidFill>
                <a:srgbClr val="00B050">
                  <a:alpha val="85000"/>
                </a:srgbClr>
              </a:solidFill>
              <a:ln w="9525" cap="flat" cmpd="sng" algn="ctr">
                <a:solidFill>
                  <a:schemeClr val="lt1">
                    <a:alpha val="50000"/>
                  </a:schemeClr>
                </a:solidFill>
                <a:round/>
              </a:ln>
              <a:effectLst/>
              <a:scene3d>
                <a:camera prst="orthographicFront"/>
                <a:lightRig rig="threePt" dir="t"/>
              </a:scene3d>
              <a:sp3d>
                <a:bevelT/>
                <a:bevelB/>
              </a:sp3d>
            </c:spPr>
          </c:dPt>
          <c:dPt>
            <c:idx val="2"/>
            <c:invertIfNegative val="0"/>
            <c:bubble3D val="0"/>
            <c:spPr>
              <a:solidFill>
                <a:srgbClr val="00B0F0">
                  <a:alpha val="85000"/>
                </a:srgbClr>
              </a:solidFill>
              <a:ln w="9525" cap="flat" cmpd="sng" algn="ctr">
                <a:solidFill>
                  <a:schemeClr val="lt1">
                    <a:alpha val="50000"/>
                  </a:schemeClr>
                </a:solidFill>
                <a:round/>
              </a:ln>
              <a:effectLst/>
              <a:scene3d>
                <a:camera prst="orthographicFront"/>
                <a:lightRig rig="threePt" dir="t"/>
              </a:scene3d>
              <a:sp3d>
                <a:bevelT/>
                <a:bevelB/>
              </a:sp3d>
            </c:spPr>
          </c:dPt>
          <c:dPt>
            <c:idx val="3"/>
            <c:invertIfNegative val="0"/>
            <c:bubble3D val="0"/>
            <c:spPr>
              <a:solidFill>
                <a:srgbClr val="FF0000">
                  <a:alpha val="85000"/>
                </a:srgbClr>
              </a:solidFill>
              <a:ln w="9525" cap="flat" cmpd="sng" algn="ctr">
                <a:solidFill>
                  <a:schemeClr val="lt1">
                    <a:alpha val="50000"/>
                  </a:schemeClr>
                </a:solidFill>
                <a:round/>
              </a:ln>
              <a:effectLst/>
              <a:scene3d>
                <a:camera prst="orthographicFront"/>
                <a:lightRig rig="threePt" dir="t"/>
              </a:scene3d>
              <a:sp3d>
                <a:bevelT/>
                <a:bevelB/>
              </a:sp3d>
            </c:spPr>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'makro ekonomi'!$B$109:$B$112</c:f>
              <c:strCache>
                <c:ptCount val="4"/>
                <c:pt idx="0">
                  <c:v>Capaian Tahun 2020</c:v>
                </c:pt>
                <c:pt idx="1">
                  <c:v>Target RPJMD 2021</c:v>
                </c:pt>
                <c:pt idx="2">
                  <c:v>Target RKPD Pokok 2021</c:v>
                </c:pt>
                <c:pt idx="3">
                  <c:v>Target Perubahan RKPD 2021</c:v>
                </c:pt>
              </c:strCache>
            </c:strRef>
          </c:cat>
          <c:val>
            <c:numRef>
              <c:f>'makro ekonomi'!$C$109:$C$112</c:f>
              <c:numCache>
                <c:formatCode>0.00</c:formatCode>
                <c:ptCount val="4"/>
                <c:pt idx="0">
                  <c:v>46.71</c:v>
                </c:pt>
                <c:pt idx="1">
                  <c:v>42.5</c:v>
                </c:pt>
                <c:pt idx="2">
                  <c:v>42.5</c:v>
                </c:pt>
                <c:pt idx="3">
                  <c:v>46.98</c:v>
                </c:pt>
              </c:numCache>
            </c:numRef>
          </c:val>
        </c:ser>
        <c:dLbls>
          <c:dLblPos val="ctr"/>
          <c:showLegendKey val="0"/>
          <c:showVal val="1"/>
          <c:showCatName val="0"/>
          <c:showSerName val="0"/>
          <c:showPercent val="0"/>
          <c:showBubbleSize val="0"/>
        </c:dLbls>
        <c:gapWidth val="150"/>
        <c:overlap val="100"/>
        <c:axId val="331750080"/>
        <c:axId val="331752824"/>
      </c:barChart>
      <c:catAx>
        <c:axId val="331750080"/>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ysClr val="windowText" lastClr="000000"/>
                </a:solidFill>
                <a:latin typeface="+mn-lt"/>
                <a:ea typeface="+mn-ea"/>
                <a:cs typeface="+mn-cs"/>
              </a:defRPr>
            </a:pPr>
            <a:endParaRPr lang="en-US"/>
          </a:p>
        </c:txPr>
        <c:crossAx val="331752824"/>
        <c:crosses val="autoZero"/>
        <c:auto val="1"/>
        <c:lblAlgn val="ctr"/>
        <c:lblOffset val="100"/>
        <c:noMultiLvlLbl val="0"/>
      </c:catAx>
      <c:valAx>
        <c:axId val="331752824"/>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00" sourceLinked="1"/>
        <c:majorTickMark val="none"/>
        <c:minorTickMark val="none"/>
        <c:tickLblPos val="nextTo"/>
        <c:crossAx val="331750080"/>
        <c:crosses val="autoZero"/>
        <c:crossBetween val="between"/>
      </c:valAx>
      <c:spPr>
        <a:noFill/>
        <a:ln>
          <a:noFill/>
        </a:ln>
        <a:effectLst/>
      </c:spPr>
    </c:plotArea>
    <c:plotVisOnly val="1"/>
    <c:dispBlanksAs val="gap"/>
    <c:showDLblsOverMax val="0"/>
  </c:chart>
  <c:spPr>
    <a:noFill/>
    <a:ln w="9525" cap="flat" cmpd="sng" algn="ctr">
      <a:solidFill>
        <a:schemeClr val="tx1"/>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1666666666666664E-2"/>
          <c:y val="0.10185185185185185"/>
          <c:w val="0.93888888888888888"/>
          <c:h val="0.89814814814814814"/>
        </c:manualLayout>
      </c:layout>
      <c:barChart>
        <c:barDir val="col"/>
        <c:grouping val="stacked"/>
        <c:varyColors val="0"/>
        <c:ser>
          <c:idx val="0"/>
          <c:order val="0"/>
          <c:tx>
            <c:strRef>
              <c:f>'makro ekonomi'!$C$42</c:f>
              <c:strCache>
                <c:ptCount val="1"/>
                <c:pt idx="0">
                  <c:v>TPT</c:v>
                </c:pt>
              </c:strCache>
            </c:strRef>
          </c:tx>
          <c:spPr>
            <a:solidFill>
              <a:schemeClr val="accent1">
                <a:alpha val="70000"/>
              </a:schemeClr>
            </a:solidFill>
            <a:ln>
              <a:noFill/>
            </a:ln>
            <a:effectLst/>
            <a:scene3d>
              <a:camera prst="orthographicFront"/>
              <a:lightRig rig="threePt" dir="t"/>
            </a:scene3d>
            <a:sp3d>
              <a:bevelT w="165100" prst="coolSlant"/>
              <a:bevelB w="165100" prst="coolSlant"/>
            </a:sp3d>
          </c:spPr>
          <c:invertIfNegative val="0"/>
          <c:dPt>
            <c:idx val="0"/>
            <c:invertIfNegative val="0"/>
            <c:bubble3D val="0"/>
            <c:spPr>
              <a:solidFill>
                <a:srgbClr val="00B050">
                  <a:alpha val="70000"/>
                </a:srgbClr>
              </a:solidFill>
              <a:ln>
                <a:noFill/>
              </a:ln>
              <a:effectLst/>
              <a:scene3d>
                <a:camera prst="orthographicFront"/>
                <a:lightRig rig="threePt" dir="t"/>
              </a:scene3d>
              <a:sp3d>
                <a:bevelT w="165100" prst="coolSlant"/>
                <a:bevelB w="165100" prst="coolSlant"/>
              </a:sp3d>
            </c:spPr>
          </c:dPt>
          <c:dPt>
            <c:idx val="1"/>
            <c:invertIfNegative val="0"/>
            <c:bubble3D val="0"/>
            <c:spPr>
              <a:solidFill>
                <a:srgbClr val="7030A0">
                  <a:alpha val="70000"/>
                </a:srgbClr>
              </a:solidFill>
              <a:ln>
                <a:noFill/>
              </a:ln>
              <a:effectLst/>
              <a:scene3d>
                <a:camera prst="orthographicFront"/>
                <a:lightRig rig="threePt" dir="t"/>
              </a:scene3d>
              <a:sp3d>
                <a:bevelT w="165100" prst="coolSlant"/>
                <a:bevelB w="165100" prst="coolSlant"/>
              </a:sp3d>
            </c:spPr>
          </c:dPt>
          <c:dPt>
            <c:idx val="2"/>
            <c:invertIfNegative val="0"/>
            <c:bubble3D val="0"/>
            <c:spPr>
              <a:solidFill>
                <a:srgbClr val="C00000">
                  <a:alpha val="70000"/>
                </a:srgbClr>
              </a:solidFill>
              <a:ln>
                <a:noFill/>
              </a:ln>
              <a:effectLst/>
              <a:scene3d>
                <a:camera prst="orthographicFront"/>
                <a:lightRig rig="threePt" dir="t"/>
              </a:scene3d>
              <a:sp3d>
                <a:bevelT w="165100" prst="coolSlant"/>
                <a:bevelB w="165100" prst="coolSlant"/>
              </a:sp3d>
            </c:spPr>
          </c:dPt>
          <c:dPt>
            <c:idx val="3"/>
            <c:invertIfNegative val="0"/>
            <c:bubble3D val="0"/>
            <c:spPr>
              <a:solidFill>
                <a:srgbClr val="0070C0">
                  <a:alpha val="70000"/>
                </a:srgbClr>
              </a:solidFill>
              <a:ln>
                <a:noFill/>
              </a:ln>
              <a:effectLst/>
              <a:scene3d>
                <a:camera prst="orthographicFront"/>
                <a:lightRig rig="threePt" dir="t"/>
              </a:scene3d>
              <a:sp3d>
                <a:bevelT w="165100" prst="coolSlant"/>
                <a:bevelB w="165100" prst="coolSlant"/>
              </a:sp3d>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'makro ekonomi'!$B$43:$B$46</c:f>
              <c:strCache>
                <c:ptCount val="4"/>
                <c:pt idx="0">
                  <c:v>Capaian Tahun 2020</c:v>
                </c:pt>
                <c:pt idx="1">
                  <c:v>Target RPJMD 2021</c:v>
                </c:pt>
                <c:pt idx="2">
                  <c:v>Target RKPD Pokok 2021</c:v>
                </c:pt>
                <c:pt idx="3">
                  <c:v>Target Perubahan RKPD 2021</c:v>
                </c:pt>
              </c:strCache>
            </c:strRef>
          </c:cat>
          <c:val>
            <c:numRef>
              <c:f>'makro ekonomi'!$C$43:$C$46</c:f>
              <c:numCache>
                <c:formatCode>0.00</c:formatCode>
                <c:ptCount val="4"/>
                <c:pt idx="0">
                  <c:v>2.44</c:v>
                </c:pt>
                <c:pt idx="1">
                  <c:v>0.5</c:v>
                </c:pt>
                <c:pt idx="2">
                  <c:v>1.28</c:v>
                </c:pt>
                <c:pt idx="3">
                  <c:v>2.2000000000000002</c:v>
                </c:pt>
              </c:numCache>
            </c:numRef>
          </c:val>
        </c:ser>
        <c:dLbls>
          <c:dLblPos val="ctr"/>
          <c:showLegendKey val="0"/>
          <c:showVal val="1"/>
          <c:showCatName val="0"/>
          <c:showSerName val="0"/>
          <c:showPercent val="0"/>
          <c:showBubbleSize val="0"/>
        </c:dLbls>
        <c:gapWidth val="50"/>
        <c:overlap val="100"/>
        <c:axId val="277207656"/>
        <c:axId val="277210008"/>
      </c:barChart>
      <c:catAx>
        <c:axId val="277207656"/>
        <c:scaling>
          <c:orientation val="minMax"/>
        </c:scaling>
        <c:delete val="0"/>
        <c:axPos val="b"/>
        <c:numFmt formatCode="General" sourceLinked="1"/>
        <c:majorTickMark val="none"/>
        <c:minorTickMark val="none"/>
        <c:tickLblPos val="nextTo"/>
        <c:spPr>
          <a:noFill/>
          <a:ln w="9525" cap="flat" cmpd="sng" algn="ctr">
            <a:solidFill>
              <a:schemeClr val="tx1">
                <a:lumMod val="25000"/>
                <a:lumOff val="75000"/>
              </a:schemeClr>
            </a:solidFill>
            <a:round/>
            <a:headEnd type="none" w="sm" len="sm"/>
            <a:tailEnd type="none" w="sm" len="sm"/>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77210008"/>
        <c:crosses val="autoZero"/>
        <c:auto val="1"/>
        <c:lblAlgn val="ctr"/>
        <c:lblOffset val="100"/>
        <c:noMultiLvlLbl val="0"/>
      </c:catAx>
      <c:valAx>
        <c:axId val="277210008"/>
        <c:scaling>
          <c:orientation val="minMax"/>
        </c:scaling>
        <c:delete val="1"/>
        <c:axPos val="l"/>
        <c:majorGridlines>
          <c:spPr>
            <a:ln w="9525" cap="flat" cmpd="sng" algn="ctr">
              <a:gradFill>
                <a:gsLst>
                  <a:gs pos="0">
                    <a:schemeClr val="tx1">
                      <a:lumMod val="5000"/>
                      <a:lumOff val="95000"/>
                    </a:schemeClr>
                  </a:gs>
                  <a:gs pos="100000">
                    <a:schemeClr val="tx1">
                      <a:lumMod val="15000"/>
                      <a:lumOff val="85000"/>
                    </a:schemeClr>
                  </a:gs>
                </a:gsLst>
                <a:lin ang="5400000" scaled="0"/>
              </a:gradFill>
              <a:round/>
            </a:ln>
            <a:effectLst/>
          </c:spPr>
        </c:majorGridlines>
        <c:numFmt formatCode="0.00" sourceLinked="1"/>
        <c:majorTickMark val="none"/>
        <c:minorTickMark val="none"/>
        <c:tickLblPos val="nextTo"/>
        <c:crossAx val="2772076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'makro ekonomi'!$C$59</c:f>
              <c:strCache>
                <c:ptCount val="1"/>
                <c:pt idx="0">
                  <c:v>Kemiskinan</c:v>
                </c:pt>
              </c:strCache>
            </c:strRef>
          </c:tx>
          <c:spPr>
            <a:solidFill>
              <a:schemeClr val="accent1"/>
            </a:solidFill>
            <a:ln>
              <a:noFill/>
            </a:ln>
            <a:effectLst/>
            <a:scene3d>
              <a:camera prst="orthographicFront"/>
              <a:lightRig rig="threePt" dir="t"/>
            </a:scene3d>
            <a:sp3d>
              <a:bevelT/>
              <a:bevelB/>
            </a:sp3d>
          </c:spPr>
          <c:invertIfNegative val="0"/>
          <c:dPt>
            <c:idx val="0"/>
            <c:invertIfNegative val="0"/>
            <c:bubble3D val="0"/>
            <c:spPr>
              <a:solidFill>
                <a:schemeClr val="accent6"/>
              </a:solidFill>
              <a:ln>
                <a:noFill/>
              </a:ln>
              <a:effectLst/>
              <a:scene3d>
                <a:camera prst="orthographicFront"/>
                <a:lightRig rig="threePt" dir="t"/>
              </a:scene3d>
              <a:sp3d>
                <a:bevelT/>
                <a:bevelB/>
              </a:sp3d>
            </c:spPr>
          </c:dPt>
          <c:dPt>
            <c:idx val="1"/>
            <c:invertIfNegative val="0"/>
            <c:bubble3D val="0"/>
            <c:spPr>
              <a:solidFill>
                <a:schemeClr val="accent4">
                  <a:lumMod val="75000"/>
                </a:schemeClr>
              </a:solidFill>
              <a:ln>
                <a:noFill/>
              </a:ln>
              <a:effectLst/>
              <a:scene3d>
                <a:camera prst="orthographicFront"/>
                <a:lightRig rig="threePt" dir="t"/>
              </a:scene3d>
              <a:sp3d>
                <a:bevelT/>
                <a:bevelB/>
              </a:sp3d>
            </c:spPr>
          </c:dPt>
          <c:dPt>
            <c:idx val="2"/>
            <c:invertIfNegative val="0"/>
            <c:bubble3D val="0"/>
            <c:spPr>
              <a:solidFill>
                <a:schemeClr val="accent2"/>
              </a:solidFill>
              <a:ln>
                <a:noFill/>
              </a:ln>
              <a:effectLst/>
              <a:scene3d>
                <a:camera prst="orthographicFront"/>
                <a:lightRig rig="threePt" dir="t"/>
              </a:scene3d>
              <a:sp3d>
                <a:bevelT/>
                <a:bevelB/>
              </a:sp3d>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'makro ekonomi'!$B$60:$B$63</c:f>
              <c:strCache>
                <c:ptCount val="4"/>
                <c:pt idx="0">
                  <c:v>Capaian Tahun 2020</c:v>
                </c:pt>
                <c:pt idx="1">
                  <c:v>Target RPJMD 2021</c:v>
                </c:pt>
                <c:pt idx="2">
                  <c:v>Target RKPD Pokok 2021</c:v>
                </c:pt>
                <c:pt idx="3">
                  <c:v>Target Perubahan RKPD 2021</c:v>
                </c:pt>
              </c:strCache>
            </c:strRef>
          </c:cat>
          <c:val>
            <c:numRef>
              <c:f>'makro ekonomi'!$C$60:$C$63</c:f>
              <c:numCache>
                <c:formatCode>0.00</c:formatCode>
                <c:ptCount val="4"/>
                <c:pt idx="0">
                  <c:v>12.48</c:v>
                </c:pt>
                <c:pt idx="1">
                  <c:v>7.65</c:v>
                </c:pt>
                <c:pt idx="2">
                  <c:v>13.09</c:v>
                </c:pt>
                <c:pt idx="3">
                  <c:v>12.28</c:v>
                </c:pt>
              </c:numCache>
            </c:numRef>
          </c:val>
        </c:ser>
        <c:dLbls>
          <c:dLblPos val="ctr"/>
          <c:showLegendKey val="0"/>
          <c:showVal val="1"/>
          <c:showCatName val="0"/>
          <c:showSerName val="0"/>
          <c:showPercent val="0"/>
          <c:showBubbleSize val="0"/>
        </c:dLbls>
        <c:gapWidth val="79"/>
        <c:overlap val="100"/>
        <c:axId val="277210792"/>
        <c:axId val="274535512"/>
      </c:barChart>
      <c:catAx>
        <c:axId val="2772107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ysClr val="windowText" lastClr="000000"/>
                </a:solidFill>
                <a:latin typeface="+mn-lt"/>
                <a:ea typeface="+mn-ea"/>
                <a:cs typeface="+mn-cs"/>
              </a:defRPr>
            </a:pPr>
            <a:endParaRPr lang="en-US"/>
          </a:p>
        </c:txPr>
        <c:crossAx val="274535512"/>
        <c:crosses val="autoZero"/>
        <c:auto val="1"/>
        <c:lblAlgn val="ctr"/>
        <c:lblOffset val="100"/>
        <c:noMultiLvlLbl val="0"/>
      </c:catAx>
      <c:valAx>
        <c:axId val="274535512"/>
        <c:scaling>
          <c:orientation val="minMax"/>
        </c:scaling>
        <c:delete val="1"/>
        <c:axPos val="b"/>
        <c:numFmt formatCode="0.00" sourceLinked="1"/>
        <c:majorTickMark val="none"/>
        <c:minorTickMark val="none"/>
        <c:tickLblPos val="nextTo"/>
        <c:crossAx val="277210792"/>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'makro ekonomi'!$C$76</c:f>
              <c:strCache>
                <c:ptCount val="1"/>
                <c:pt idx="0">
                  <c:v>IPM</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a:scene3d>
              <a:camera prst="orthographicFront"/>
              <a:lightRig rig="threePt" dir="t"/>
            </a:scene3d>
            <a:sp3d>
              <a:bevelT/>
              <a:bevelB/>
            </a:sp3d>
          </c:spPr>
          <c:invertIfNegative val="0"/>
          <c:dPt>
            <c:idx val="0"/>
            <c:invertIfNegative val="0"/>
            <c:bubble3D val="0"/>
            <c:spPr>
              <a:solidFill>
                <a:schemeClr val="accent4">
                  <a:lumMod val="50000"/>
                </a:schemeClr>
              </a:solidFill>
              <a:ln w="9525" cap="flat" cmpd="sng" algn="ctr">
                <a:solidFill>
                  <a:schemeClr val="accent1">
                    <a:shade val="95000"/>
                  </a:schemeClr>
                </a:solidFill>
                <a:round/>
              </a:ln>
              <a:effectLst/>
              <a:scene3d>
                <a:camera prst="orthographicFront"/>
                <a:lightRig rig="threePt" dir="t"/>
              </a:scene3d>
              <a:sp3d>
                <a:bevelT/>
                <a:bevelB/>
              </a:sp3d>
            </c:spPr>
          </c:dPt>
          <c:dPt>
            <c:idx val="1"/>
            <c:invertIfNegative val="0"/>
            <c:bubble3D val="0"/>
            <c:spPr>
              <a:solidFill>
                <a:schemeClr val="accent2">
                  <a:lumMod val="75000"/>
                </a:schemeClr>
              </a:solidFill>
              <a:ln w="9525" cap="flat" cmpd="sng" algn="ctr">
                <a:solidFill>
                  <a:schemeClr val="accent1">
                    <a:shade val="95000"/>
                  </a:schemeClr>
                </a:solidFill>
                <a:round/>
              </a:ln>
              <a:effectLst/>
              <a:scene3d>
                <a:camera prst="orthographicFront"/>
                <a:lightRig rig="threePt" dir="t"/>
              </a:scene3d>
              <a:sp3d>
                <a:bevelT/>
                <a:bevelB/>
              </a:sp3d>
            </c:spPr>
          </c:dPt>
          <c:dPt>
            <c:idx val="2"/>
            <c:invertIfNegative val="0"/>
            <c:bubble3D val="0"/>
            <c:spPr>
              <a:solidFill>
                <a:srgbClr val="0070C0"/>
              </a:solidFill>
              <a:ln w="9525" cap="flat" cmpd="sng" algn="ctr">
                <a:solidFill>
                  <a:schemeClr val="accent1">
                    <a:shade val="95000"/>
                  </a:schemeClr>
                </a:solidFill>
                <a:round/>
              </a:ln>
              <a:effectLst/>
              <a:scene3d>
                <a:camera prst="orthographicFront"/>
                <a:lightRig rig="threePt" dir="t"/>
              </a:scene3d>
              <a:sp3d>
                <a:bevelT/>
                <a:bevelB/>
              </a:sp3d>
            </c:spPr>
          </c:dPt>
          <c:dPt>
            <c:idx val="3"/>
            <c:invertIfNegative val="0"/>
            <c:bubble3D val="0"/>
            <c:spPr>
              <a:solidFill>
                <a:srgbClr val="00B050"/>
              </a:solidFill>
              <a:ln w="9525" cap="flat" cmpd="sng" algn="ctr">
                <a:solidFill>
                  <a:schemeClr val="accent1">
                    <a:shade val="95000"/>
                  </a:schemeClr>
                </a:solidFill>
                <a:round/>
              </a:ln>
              <a:effectLst/>
              <a:scene3d>
                <a:camera prst="orthographicFront"/>
                <a:lightRig rig="threePt" dir="t"/>
              </a:scene3d>
              <a:sp3d>
                <a:bevelT/>
                <a:bevelB/>
              </a:sp3d>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'makro ekonomi'!$B$77:$B$80</c:f>
              <c:strCache>
                <c:ptCount val="4"/>
                <c:pt idx="0">
                  <c:v>Capaian Tahun 2020</c:v>
                </c:pt>
                <c:pt idx="1">
                  <c:v>Target RPJMD 2021</c:v>
                </c:pt>
                <c:pt idx="2">
                  <c:v>Target RKPD Pokok 2021</c:v>
                </c:pt>
                <c:pt idx="3">
                  <c:v>Target Perubahan RKPD 2021</c:v>
                </c:pt>
              </c:strCache>
            </c:strRef>
          </c:cat>
          <c:val>
            <c:numRef>
              <c:f>'makro ekonomi'!$C$77:$C$80</c:f>
              <c:numCache>
                <c:formatCode>0.00</c:formatCode>
                <c:ptCount val="4"/>
                <c:pt idx="0">
                  <c:v>67.38</c:v>
                </c:pt>
                <c:pt idx="1">
                  <c:v>71</c:v>
                </c:pt>
                <c:pt idx="2">
                  <c:v>68.22</c:v>
                </c:pt>
                <c:pt idx="3">
                  <c:v>68.22</c:v>
                </c:pt>
              </c:numCache>
            </c:numRef>
          </c:val>
        </c:ser>
        <c:dLbls>
          <c:dLblPos val="ctr"/>
          <c:showLegendKey val="0"/>
          <c:showVal val="1"/>
          <c:showCatName val="0"/>
          <c:showSerName val="0"/>
          <c:showPercent val="0"/>
          <c:showBubbleSize val="0"/>
        </c:dLbls>
        <c:gapWidth val="150"/>
        <c:overlap val="100"/>
        <c:axId val="280340952"/>
        <c:axId val="203612304"/>
      </c:barChart>
      <c:catAx>
        <c:axId val="28034095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03612304"/>
        <c:crosses val="autoZero"/>
        <c:auto val="1"/>
        <c:lblAlgn val="ctr"/>
        <c:lblOffset val="100"/>
        <c:noMultiLvlLbl val="0"/>
      </c:catAx>
      <c:valAx>
        <c:axId val="203612304"/>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2803409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'makro ekonomi'!$C$121</c:f>
              <c:strCache>
                <c:ptCount val="1"/>
                <c:pt idx="0">
                  <c:v>Gini Rasio</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a:scene3d>
              <a:camera prst="orthographicFront"/>
              <a:lightRig rig="threePt" dir="t"/>
            </a:scene3d>
            <a:sp3d>
              <a:bevelT w="165100" prst="coolSlant"/>
            </a:sp3d>
          </c:spPr>
          <c:invertIfNegative val="0"/>
          <c:dPt>
            <c:idx val="0"/>
            <c:invertIfNegative val="0"/>
            <c:bubble3D val="0"/>
            <c:spPr>
              <a:solidFill>
                <a:schemeClr val="accent6">
                  <a:lumMod val="75000"/>
                </a:schemeClr>
              </a:solidFill>
              <a:ln w="9525" cap="flat" cmpd="sng" algn="ctr">
                <a:solidFill>
                  <a:schemeClr val="accent1">
                    <a:shade val="95000"/>
                  </a:schemeClr>
                </a:solidFill>
                <a:round/>
              </a:ln>
              <a:effectLst/>
              <a:scene3d>
                <a:camera prst="orthographicFront"/>
                <a:lightRig rig="threePt" dir="t"/>
              </a:scene3d>
              <a:sp3d>
                <a:bevelT w="165100" prst="coolSlant"/>
              </a:sp3d>
            </c:spPr>
          </c:dPt>
          <c:dPt>
            <c:idx val="1"/>
            <c:invertIfNegative val="0"/>
            <c:bubble3D val="0"/>
            <c:spPr>
              <a:solidFill>
                <a:schemeClr val="accent4">
                  <a:lumMod val="50000"/>
                </a:schemeClr>
              </a:solidFill>
              <a:ln w="9525" cap="flat" cmpd="sng" algn="ctr">
                <a:solidFill>
                  <a:schemeClr val="accent1">
                    <a:shade val="95000"/>
                  </a:schemeClr>
                </a:solidFill>
                <a:round/>
              </a:ln>
              <a:effectLst/>
              <a:scene3d>
                <a:camera prst="orthographicFront"/>
                <a:lightRig rig="threePt" dir="t"/>
              </a:scene3d>
              <a:sp3d>
                <a:bevelT w="165100" prst="coolSlant"/>
              </a:sp3d>
            </c:spPr>
          </c:dPt>
          <c:dPt>
            <c:idx val="2"/>
            <c:invertIfNegative val="0"/>
            <c:bubble3D val="0"/>
            <c:spPr>
              <a:solidFill>
                <a:schemeClr val="accent3">
                  <a:lumMod val="50000"/>
                </a:schemeClr>
              </a:solidFill>
              <a:ln w="9525" cap="flat" cmpd="sng" algn="ctr">
                <a:solidFill>
                  <a:schemeClr val="accent1">
                    <a:shade val="95000"/>
                  </a:schemeClr>
                </a:solidFill>
                <a:round/>
              </a:ln>
              <a:effectLst/>
              <a:scene3d>
                <a:camera prst="orthographicFront"/>
                <a:lightRig rig="threePt" dir="t"/>
              </a:scene3d>
              <a:sp3d>
                <a:bevelT w="165100" prst="coolSlant"/>
              </a:sp3d>
            </c:spPr>
          </c:dPt>
          <c:dPt>
            <c:idx val="3"/>
            <c:invertIfNegative val="0"/>
            <c:bubble3D val="0"/>
            <c:spPr>
              <a:solidFill>
                <a:schemeClr val="accent2">
                  <a:lumMod val="75000"/>
                </a:schemeClr>
              </a:solidFill>
              <a:ln w="9525" cap="flat" cmpd="sng" algn="ctr">
                <a:solidFill>
                  <a:schemeClr val="accent1">
                    <a:shade val="95000"/>
                  </a:schemeClr>
                </a:solidFill>
                <a:round/>
              </a:ln>
              <a:effectLst/>
              <a:scene3d>
                <a:camera prst="orthographicFront"/>
                <a:lightRig rig="threePt" dir="t"/>
              </a:scene3d>
              <a:sp3d>
                <a:bevelT w="165100" prst="coolSlant"/>
              </a:sp3d>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'makro ekonomi'!$B$122:$B$125</c:f>
              <c:strCache>
                <c:ptCount val="4"/>
                <c:pt idx="0">
                  <c:v>Capaian Tahun 2020</c:v>
                </c:pt>
                <c:pt idx="1">
                  <c:v>Target RPJMD 2021</c:v>
                </c:pt>
                <c:pt idx="2">
                  <c:v>Target RKPD Pokok 2021</c:v>
                </c:pt>
                <c:pt idx="3">
                  <c:v>Target Perubahan RKPD 2021</c:v>
                </c:pt>
              </c:strCache>
            </c:strRef>
          </c:cat>
          <c:val>
            <c:numRef>
              <c:f>'makro ekonomi'!$C$122:$C$125</c:f>
              <c:numCache>
                <c:formatCode>0,000</c:formatCode>
                <c:ptCount val="4"/>
                <c:pt idx="0" formatCode="General">
                  <c:v>0.35699999999999998</c:v>
                </c:pt>
                <c:pt idx="1">
                  <c:v>0</c:v>
                </c:pt>
                <c:pt idx="2" formatCode="General">
                  <c:v>0.29799999999999999</c:v>
                </c:pt>
                <c:pt idx="3" formatCode="General">
                  <c:v>0.34499999999999997</c:v>
                </c:pt>
              </c:numCache>
            </c:numRef>
          </c:val>
        </c:ser>
        <c:dLbls>
          <c:dLblPos val="ctr"/>
          <c:showLegendKey val="0"/>
          <c:showVal val="1"/>
          <c:showCatName val="0"/>
          <c:showSerName val="0"/>
          <c:showPercent val="0"/>
          <c:showBubbleSize val="0"/>
        </c:dLbls>
        <c:gapWidth val="150"/>
        <c:overlap val="100"/>
        <c:axId val="426167432"/>
        <c:axId val="426167824"/>
      </c:barChart>
      <c:catAx>
        <c:axId val="42616743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426167824"/>
        <c:crosses val="autoZero"/>
        <c:auto val="1"/>
        <c:lblAlgn val="ctr"/>
        <c:lblOffset val="100"/>
        <c:noMultiLvlLbl val="0"/>
      </c:catAx>
      <c:valAx>
        <c:axId val="426167824"/>
        <c:scaling>
          <c:orientation val="minMax"/>
        </c:scaling>
        <c:delete val="1"/>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4261674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0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30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fillRef idx="0">
      <cs:styleClr val="auto"/>
    </cs:fillRef>
    <cs:effectRef idx="0"/>
    <cs:fontRef idx="minor">
      <a:schemeClr val="tx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300">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30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fillRef idx="0">
      <cs:styleClr val="auto"/>
    </cs:fillRef>
    <cs:effectRef idx="0"/>
    <cs:fontRef idx="minor">
      <a:schemeClr val="tx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98">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301">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301">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2ED79-2694-44F6-A141-2C777185F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1839</TotalTime>
  <Pages>28</Pages>
  <Words>8850</Words>
  <Characters>50450</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59182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HP</cp:lastModifiedBy>
  <cp:revision>579</cp:revision>
  <cp:lastPrinted>2020-09-13T14:13:00Z</cp:lastPrinted>
  <dcterms:created xsi:type="dcterms:W3CDTF">2021-06-29T02:48:00Z</dcterms:created>
  <dcterms:modified xsi:type="dcterms:W3CDTF">2021-09-26T14:11:00Z</dcterms:modified>
</cp:coreProperties>
</file>